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81" w:rsidRDefault="000B2181" w:rsidP="000B2181">
      <w:pPr>
        <w:pBdr>
          <w:bottom w:val="single" w:sz="12" w:space="1" w:color="auto"/>
        </w:pBdr>
        <w:rPr>
          <w:b/>
        </w:rPr>
      </w:pPr>
      <w:r>
        <w:rPr>
          <w:b/>
          <w:sz w:val="28"/>
          <w:szCs w:val="28"/>
        </w:rPr>
        <w:t>GENTAFIX</w:t>
      </w:r>
      <w:r w:rsidRPr="002F3627">
        <w:rPr>
          <w:b/>
          <w:sz w:val="28"/>
          <w:szCs w:val="28"/>
        </w:rPr>
        <w:t xml:space="preserve"> ® </w:t>
      </w:r>
    </w:p>
    <w:p w:rsidR="002F3627" w:rsidRDefault="00774F49" w:rsidP="002F3627">
      <w:pPr>
        <w:ind w:right="0"/>
      </w:pPr>
      <w:r>
        <w:t>Kostní</w:t>
      </w:r>
      <w:r w:rsidR="002F3627">
        <w:t xml:space="preserve"> cement</w:t>
      </w:r>
      <w:r>
        <w:t xml:space="preserve"> s antibiotikem</w:t>
      </w:r>
    </w:p>
    <w:p w:rsidR="0013646E" w:rsidRDefault="000B177C" w:rsidP="002F3627">
      <w:pPr>
        <w:ind w:right="0"/>
        <w:rPr>
          <w:i/>
        </w:rPr>
      </w:pPr>
      <w:r>
        <w:rPr>
          <w:i/>
        </w:rPr>
        <w:t>Návod na </w:t>
      </w:r>
      <w:r w:rsidR="0013646E" w:rsidRPr="0013646E">
        <w:rPr>
          <w:i/>
        </w:rPr>
        <w:t>použití</w:t>
      </w:r>
    </w:p>
    <w:p w:rsidR="000B177C" w:rsidRDefault="000B177C" w:rsidP="002F3627">
      <w:pPr>
        <w:ind w:right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Logo Teknimed</w:t>
      </w:r>
    </w:p>
    <w:p w:rsidR="002634FB" w:rsidRDefault="002634FB" w:rsidP="002F3627">
      <w:pPr>
        <w:ind w:right="0"/>
      </w:pPr>
      <w:r w:rsidRPr="002634FB">
        <w:t>Vyrobeno ve Francii společností:</w:t>
      </w:r>
    </w:p>
    <w:p w:rsidR="000B177C" w:rsidRPr="000B177C" w:rsidRDefault="000B177C" w:rsidP="000B177C">
      <w:pPr>
        <w:spacing w:before="0" w:beforeAutospacing="0" w:after="0" w:afterAutospacing="0"/>
        <w:ind w:right="0"/>
        <w:rPr>
          <w:b/>
        </w:rPr>
      </w:pPr>
      <w:r w:rsidRPr="000B177C">
        <w:rPr>
          <w:b/>
        </w:rPr>
        <w:t>TEKNIMED S.A.S</w:t>
      </w:r>
    </w:p>
    <w:p w:rsidR="000B177C" w:rsidRPr="000B177C" w:rsidRDefault="000B177C" w:rsidP="000B177C">
      <w:pPr>
        <w:spacing w:before="0" w:beforeAutospacing="0" w:after="0" w:afterAutospacing="0"/>
        <w:ind w:right="0"/>
        <w:rPr>
          <w:b/>
        </w:rPr>
      </w:pPr>
      <w:r w:rsidRPr="000B177C">
        <w:rPr>
          <w:b/>
        </w:rPr>
        <w:t>8, rue du Corps Franc-Pommniès</w:t>
      </w:r>
    </w:p>
    <w:p w:rsidR="000B177C" w:rsidRPr="000B177C" w:rsidRDefault="000B177C" w:rsidP="000B177C">
      <w:pPr>
        <w:spacing w:before="0" w:beforeAutospacing="0" w:after="0" w:afterAutospacing="0"/>
        <w:ind w:right="0"/>
        <w:rPr>
          <w:b/>
        </w:rPr>
      </w:pPr>
      <w:r w:rsidRPr="000B177C">
        <w:rPr>
          <w:b/>
        </w:rPr>
        <w:t>65500 VIC EN BIGORRE – FRANCE</w:t>
      </w:r>
    </w:p>
    <w:p w:rsidR="000B177C" w:rsidRPr="000B177C" w:rsidRDefault="000B177C" w:rsidP="000B177C">
      <w:pPr>
        <w:spacing w:before="0" w:beforeAutospacing="0" w:after="0" w:afterAutospacing="0"/>
        <w:ind w:right="0"/>
        <w:rPr>
          <w:b/>
        </w:rPr>
      </w:pPr>
      <w:r w:rsidRPr="000B177C">
        <w:rPr>
          <w:b/>
        </w:rPr>
        <w:t>Tèl. (33)5 62 96 88 38</w:t>
      </w:r>
    </w:p>
    <w:p w:rsidR="000B177C" w:rsidRPr="000B177C" w:rsidRDefault="000B177C" w:rsidP="000B177C">
      <w:pPr>
        <w:spacing w:before="0" w:beforeAutospacing="0" w:after="0" w:afterAutospacing="0"/>
        <w:ind w:right="0"/>
        <w:rPr>
          <w:b/>
        </w:rPr>
      </w:pPr>
      <w:r w:rsidRPr="000B177C">
        <w:rPr>
          <w:b/>
        </w:rPr>
        <w:t>Fax (33)5 62 96 28 72</w:t>
      </w:r>
    </w:p>
    <w:p w:rsidR="000B177C" w:rsidRPr="000B177C" w:rsidRDefault="000B177C" w:rsidP="000B177C">
      <w:pPr>
        <w:spacing w:before="0" w:beforeAutospacing="0" w:after="0" w:afterAutospacing="0"/>
        <w:ind w:right="0"/>
        <w:rPr>
          <w:b/>
        </w:rPr>
      </w:pPr>
      <w:r w:rsidRPr="000B177C">
        <w:rPr>
          <w:b/>
        </w:rPr>
        <w:t>www.teknimed.com</w:t>
      </w:r>
    </w:p>
    <w:p w:rsidR="00D166D6" w:rsidRPr="00D166D6" w:rsidRDefault="00D166D6">
      <w:pPr>
        <w:rPr>
          <w:b/>
        </w:rPr>
      </w:pPr>
      <w:r w:rsidRPr="00D166D6">
        <w:rPr>
          <w:b/>
        </w:rPr>
        <w:t>ČESKY</w:t>
      </w:r>
    </w:p>
    <w:p w:rsidR="00D166D6" w:rsidRPr="00B46CC5" w:rsidRDefault="00B46CC5" w:rsidP="00B46CC5">
      <w:pPr>
        <w:ind w:left="0" w:firstLine="284"/>
        <w:rPr>
          <w:b/>
        </w:rPr>
      </w:pPr>
      <w:r>
        <w:t xml:space="preserve"> </w:t>
      </w:r>
      <w:r w:rsidR="000B177C">
        <w:rPr>
          <w:b/>
        </w:rPr>
        <w:t>Datum prvního označení ES</w:t>
      </w:r>
      <w:r w:rsidR="00D166D6" w:rsidRPr="00B46CC5">
        <w:rPr>
          <w:b/>
        </w:rPr>
        <w:t xml:space="preserve">: </w:t>
      </w:r>
      <w:r w:rsidR="00724395">
        <w:rPr>
          <w:b/>
        </w:rPr>
        <w:t>2000</w:t>
      </w:r>
    </w:p>
    <w:p w:rsidR="00D166D6" w:rsidRPr="00B46CC5" w:rsidRDefault="00D166D6" w:rsidP="00D166D6">
      <w:pPr>
        <w:ind w:left="284" w:right="0" w:firstLine="0"/>
        <w:rPr>
          <w:b/>
        </w:rPr>
      </w:pPr>
      <w:r w:rsidRPr="00B46CC5">
        <w:rPr>
          <w:b/>
        </w:rPr>
        <w:t>Před použitím výrobků TEKNIMED si musí operatér pečlivě přečíst bezpečnostní pokyny uvedené v tomto návodu na použití a stejně tak i informace související s daným výrobkem (popis, chirurgické techniky, letáky, apod.</w:t>
      </w:r>
      <w:r w:rsidR="0046699E">
        <w:rPr>
          <w:b/>
        </w:rPr>
        <w:t xml:space="preserve"> </w:t>
      </w:r>
      <w:r w:rsidRPr="00B46CC5">
        <w:rPr>
          <w:b/>
        </w:rPr>
        <w:t>...). Odpovídající informace poskytne společnost TEKNIMED. Chirurg musí být také informován o zbytkových rizikách v souvislosti s použitím výrobku, který se hodlá použít.</w:t>
      </w:r>
    </w:p>
    <w:p w:rsidR="004B6CC5" w:rsidRPr="00D166D6" w:rsidRDefault="00D166D6" w:rsidP="00D166D6">
      <w:pPr>
        <w:jc w:val="center"/>
        <w:rPr>
          <w:b/>
        </w:rPr>
      </w:pPr>
      <w:r>
        <w:rPr>
          <w:b/>
        </w:rPr>
        <w:t>OBECNÉ INFORMACE</w:t>
      </w:r>
    </w:p>
    <w:p w:rsidR="004B6CC5" w:rsidRDefault="004B6CC5" w:rsidP="004B6CC5">
      <w:pPr>
        <w:ind w:left="284" w:right="0" w:firstLine="0"/>
      </w:pPr>
      <w:r>
        <w:t>Implantace výrobků Teknimed smí být prováděny jen kvalifikovaným operatéry, kteří disponují výbornými znalostmi a mají zkušenosti s protetickými náhradami kloubů a s chirurgickými technikam</w:t>
      </w:r>
      <w:r w:rsidR="00706496">
        <w:t>i specifickými pro výrobky společnosti</w:t>
      </w:r>
      <w:r>
        <w:t xml:space="preserve"> TEKNIMED. Znalost chirurgických technik může být osvojena u výrobce nebo u distributora.</w:t>
      </w:r>
    </w:p>
    <w:p w:rsidR="004B6CC5" w:rsidRDefault="004B6CC5" w:rsidP="004B6CC5">
      <w:pPr>
        <w:ind w:left="284" w:right="0" w:firstLine="0"/>
      </w:pPr>
      <w:r>
        <w:t>Chirurg je zodp</w:t>
      </w:r>
      <w:r w:rsidR="008476DD">
        <w:t>ovědným za jakékoli komplikace nebo nepříznivé</w:t>
      </w:r>
      <w:r w:rsidR="005A0F4F">
        <w:t xml:space="preserve"> následky, které by mohly být důsledkem chybné indikace nebo špatné chirurgické techniky, nesprávné obsluhy vybavení a nedodržení bezpečnostních pokynů, které jsou obsahem návodu k použití. </w:t>
      </w:r>
      <w:r w:rsidR="008A76BF">
        <w:t>Výrobce TEKNIMED</w:t>
      </w:r>
      <w:r w:rsidR="007A353A">
        <w:t xml:space="preserve"> ani autorizovaný zástupce společnosti</w:t>
      </w:r>
      <w:r w:rsidR="008A76BF">
        <w:t xml:space="preserve"> TEKNIMED nemohou být zodpovědní za jakékoli takovéto komplikace.</w:t>
      </w:r>
    </w:p>
    <w:p w:rsidR="008A76BF" w:rsidRDefault="008A76BF" w:rsidP="004B6CC5">
      <w:pPr>
        <w:ind w:left="284" w:right="0" w:firstLine="0"/>
      </w:pPr>
      <w:r>
        <w:t xml:space="preserve">Tyto produkty jsou samovytvrzujícími chirurgickými </w:t>
      </w:r>
      <w:r w:rsidR="004A12A5">
        <w:t xml:space="preserve">akrylickými </w:t>
      </w:r>
      <w:r>
        <w:t>cementy, které se používají k fixaci jakéhokoli kovového nebo polyetylénového implantátu k živé kosti. Jedná se o cementy rychle tuhnoucí, což znamená</w:t>
      </w:r>
      <w:r w:rsidRPr="00EF5590">
        <w:t>, že doba tuhnutí je snížena na minimum.</w:t>
      </w:r>
      <w:r w:rsidR="0027353D">
        <w:t xml:space="preserve"> </w:t>
      </w:r>
      <w:r w:rsidR="009240C7">
        <w:t>Obsahují antibiotikum z třídy</w:t>
      </w:r>
      <w:r w:rsidR="00210881">
        <w:t xml:space="preserve"> aminoglykosidů: </w:t>
      </w:r>
      <w:r w:rsidR="009240C7">
        <w:t>gentami</w:t>
      </w:r>
      <w:r w:rsidR="00210881">
        <w:t xml:space="preserve">cin. </w:t>
      </w:r>
    </w:p>
    <w:p w:rsidR="008A76BF" w:rsidRDefault="008A76BF" w:rsidP="004B6CC5">
      <w:pPr>
        <w:ind w:left="284" w:right="0" w:firstLine="0"/>
      </w:pPr>
      <w:r>
        <w:t xml:space="preserve">Cement o standardní viskozitě </w:t>
      </w:r>
      <w:r w:rsidR="00C74228">
        <w:t xml:space="preserve">(1) umožňuje ruční </w:t>
      </w:r>
      <w:r w:rsidR="003F47ED">
        <w:t>zpracování</w:t>
      </w:r>
      <w:r>
        <w:t>.</w:t>
      </w:r>
    </w:p>
    <w:p w:rsidR="008A76BF" w:rsidRDefault="008A76BF" w:rsidP="004B6CC5">
      <w:pPr>
        <w:ind w:left="284" w:right="0" w:firstLine="0"/>
      </w:pPr>
      <w:r>
        <w:t>Cement o nízké viskozitě (3) umožňuje primárně zpracování pomocí st</w:t>
      </w:r>
      <w:r w:rsidR="003F47ED">
        <w:t>ří</w:t>
      </w:r>
      <w:r w:rsidR="00C74228">
        <w:t xml:space="preserve">kačky, ruční </w:t>
      </w:r>
      <w:r w:rsidR="003F47ED">
        <w:t xml:space="preserve">zpracování </w:t>
      </w:r>
      <w:r>
        <w:t>je rovněž možné.</w:t>
      </w:r>
    </w:p>
    <w:p w:rsidR="008B030B" w:rsidRPr="00877C36" w:rsidRDefault="008A76BF" w:rsidP="00877C36">
      <w:pPr>
        <w:ind w:left="284" w:right="0" w:firstLine="0"/>
      </w:pPr>
      <w:r>
        <w:lastRenderedPageBreak/>
        <w:t>Každá jednotka</w:t>
      </w:r>
      <w:r w:rsidR="003A2C71">
        <w:t xml:space="preserve"> sestává ze sterilní ampule s tekutinou a sterilního sáčku s práškem (monomer </w:t>
      </w:r>
      <w:r w:rsidR="00877C36">
        <w:t>v </w:t>
      </w:r>
      <w:r w:rsidR="003A2C71">
        <w:t>kapalném skupenství a polymer v prášku).</w:t>
      </w:r>
    </w:p>
    <w:p w:rsidR="003A2C71" w:rsidRPr="00C74228" w:rsidRDefault="003A2C71" w:rsidP="00C74228">
      <w:pPr>
        <w:ind w:left="284" w:right="0" w:firstLine="0"/>
        <w:jc w:val="center"/>
        <w:rPr>
          <w:b/>
        </w:rPr>
      </w:pPr>
      <w:r w:rsidRPr="00C74228">
        <w:rPr>
          <w:b/>
        </w:rPr>
        <w:t>SLOŽENÍ</w:t>
      </w:r>
    </w:p>
    <w:p w:rsidR="003A2C71" w:rsidRPr="00C74228" w:rsidRDefault="003A2C71" w:rsidP="0027353D">
      <w:pPr>
        <w:spacing w:before="0" w:beforeAutospacing="0" w:after="0" w:afterAutospacing="0"/>
        <w:ind w:left="284" w:right="0" w:firstLine="0"/>
        <w:rPr>
          <w:b/>
        </w:rPr>
      </w:pPr>
      <w:r w:rsidRPr="00C74228">
        <w:rPr>
          <w:b/>
        </w:rPr>
        <w:t>Prášek:</w:t>
      </w:r>
    </w:p>
    <w:p w:rsidR="003A2C71" w:rsidRDefault="0013646E" w:rsidP="0027353D">
      <w:pPr>
        <w:spacing w:before="0" w:beforeAutospacing="0" w:after="0" w:afterAutospacing="0"/>
        <w:ind w:left="284" w:right="0" w:firstLine="0"/>
      </w:pPr>
      <w:r>
        <w:t>Polymetyl</w:t>
      </w:r>
      <w:r w:rsidR="003A2C71">
        <w:t>metakrylát:</w:t>
      </w:r>
      <w:r w:rsidR="003A2C71">
        <w:tab/>
      </w:r>
      <w:r w:rsidR="007172CF">
        <w:tab/>
      </w:r>
      <w:r w:rsidR="007172CF">
        <w:tab/>
      </w:r>
      <w:r w:rsidR="007172CF">
        <w:tab/>
        <w:t>84,3</w:t>
      </w:r>
      <w:r w:rsidR="00910F74">
        <w:t xml:space="preserve"> </w:t>
      </w:r>
      <w:r w:rsidR="003A2C71" w:rsidRPr="000B177C">
        <w:t>%</w:t>
      </w:r>
    </w:p>
    <w:p w:rsidR="003A2C71" w:rsidRDefault="003A2C71" w:rsidP="0027353D">
      <w:pPr>
        <w:spacing w:before="0" w:beforeAutospacing="0" w:after="0" w:afterAutospacing="0"/>
        <w:ind w:left="0" w:right="0" w:firstLine="284"/>
      </w:pPr>
      <w:r>
        <w:t>Peroxid benzoylu:</w:t>
      </w:r>
      <w:r>
        <w:tab/>
      </w:r>
      <w:r>
        <w:tab/>
      </w:r>
      <w:r w:rsidR="007172CF">
        <w:tab/>
      </w:r>
      <w:r w:rsidR="007172CF">
        <w:tab/>
      </w:r>
      <w:r w:rsidR="007172CF">
        <w:tab/>
      </w:r>
      <w:r>
        <w:t>2,</w:t>
      </w:r>
      <w:r w:rsidR="007172CF">
        <w:t>3</w:t>
      </w:r>
      <w:r w:rsidR="00910F74">
        <w:t xml:space="preserve"> </w:t>
      </w:r>
      <w:r w:rsidRPr="000B177C">
        <w:t>%</w:t>
      </w:r>
    </w:p>
    <w:p w:rsidR="003A2C71" w:rsidRPr="000B177C" w:rsidRDefault="003A2C71" w:rsidP="0027353D">
      <w:pPr>
        <w:spacing w:before="0" w:beforeAutospacing="0" w:after="0" w:afterAutospacing="0"/>
        <w:ind w:left="284" w:right="0" w:firstLine="0"/>
      </w:pPr>
      <w:r>
        <w:t>Síran barnatý</w:t>
      </w:r>
      <w:r w:rsidR="00910F74">
        <w:t>:</w:t>
      </w:r>
      <w:r>
        <w:tab/>
      </w:r>
      <w:r>
        <w:tab/>
      </w:r>
      <w:r w:rsidR="007172CF">
        <w:tab/>
      </w:r>
      <w:r w:rsidR="007172CF">
        <w:tab/>
      </w:r>
      <w:r w:rsidR="007172CF">
        <w:tab/>
        <w:t>9,6</w:t>
      </w:r>
      <w:r w:rsidR="00910F74">
        <w:t xml:space="preserve"> </w:t>
      </w:r>
      <w:r w:rsidRPr="000B177C">
        <w:t>%</w:t>
      </w:r>
    </w:p>
    <w:p w:rsidR="007172CF" w:rsidRPr="005335D6" w:rsidRDefault="007172CF" w:rsidP="0027353D">
      <w:pPr>
        <w:spacing w:before="0" w:beforeAutospacing="0" w:after="0" w:afterAutospacing="0"/>
        <w:ind w:left="284" w:right="0" w:firstLine="0"/>
      </w:pPr>
      <w:r w:rsidRPr="00EF66B6">
        <w:t>Gentamicin sulfát odpovídající 1 g základu</w:t>
      </w:r>
      <w:r w:rsidRPr="00EF66B6">
        <w:tab/>
      </w:r>
      <w:r w:rsidRPr="00EF66B6">
        <w:tab/>
      </w:r>
      <w:r w:rsidRPr="005335D6">
        <w:t>3,8 %</w:t>
      </w:r>
    </w:p>
    <w:p w:rsidR="0027353D" w:rsidRDefault="0027353D" w:rsidP="0027353D">
      <w:pPr>
        <w:spacing w:before="0" w:beforeAutospacing="0" w:after="0" w:afterAutospacing="0"/>
        <w:ind w:left="284" w:right="0" w:firstLine="0"/>
        <w:rPr>
          <w:b/>
        </w:rPr>
      </w:pPr>
    </w:p>
    <w:p w:rsidR="003A2C71" w:rsidRPr="00C74228" w:rsidRDefault="003A2C71" w:rsidP="0027353D">
      <w:pPr>
        <w:spacing w:before="0" w:beforeAutospacing="0" w:after="0" w:afterAutospacing="0"/>
        <w:ind w:left="284" w:right="0" w:firstLine="0"/>
        <w:rPr>
          <w:b/>
        </w:rPr>
      </w:pPr>
      <w:r w:rsidRPr="00C74228">
        <w:rPr>
          <w:b/>
        </w:rPr>
        <w:t>Tekutina:</w:t>
      </w:r>
    </w:p>
    <w:p w:rsidR="003A2C71" w:rsidRDefault="0013646E" w:rsidP="0027353D">
      <w:pPr>
        <w:spacing w:before="0" w:beforeAutospacing="0" w:after="0" w:afterAutospacing="0"/>
        <w:ind w:left="284" w:right="0" w:firstLine="0"/>
      </w:pPr>
      <w:r>
        <w:t>Metyl</w:t>
      </w:r>
      <w:r w:rsidR="003A2C71">
        <w:t>metakrylát</w:t>
      </w:r>
      <w:r w:rsidR="00910F74">
        <w:t>:</w:t>
      </w:r>
      <w:r w:rsidR="003A2C71">
        <w:tab/>
      </w:r>
      <w:r w:rsidR="003A2C71">
        <w:tab/>
      </w:r>
      <w:r w:rsidR="00A12E4F">
        <w:tab/>
      </w:r>
      <w:r w:rsidR="00A12E4F">
        <w:tab/>
      </w:r>
      <w:r w:rsidR="00A12E4F">
        <w:tab/>
      </w:r>
      <w:r w:rsidR="003A2C71">
        <w:t>84,4</w:t>
      </w:r>
      <w:r w:rsidR="00910F74">
        <w:t xml:space="preserve"> </w:t>
      </w:r>
      <w:r w:rsidR="003A2C71" w:rsidRPr="000B177C">
        <w:t>%</w:t>
      </w:r>
    </w:p>
    <w:p w:rsidR="003A2C71" w:rsidRDefault="0013646E" w:rsidP="0027353D">
      <w:pPr>
        <w:spacing w:before="0" w:beforeAutospacing="0" w:after="0" w:afterAutospacing="0"/>
        <w:ind w:left="284" w:right="0" w:firstLine="0"/>
      </w:pPr>
      <w:r>
        <w:t>Butyl</w:t>
      </w:r>
      <w:r w:rsidR="003A2C71">
        <w:t>metakrylát</w:t>
      </w:r>
      <w:r w:rsidR="00910F74">
        <w:t>:</w:t>
      </w:r>
      <w:r w:rsidR="003A2C71">
        <w:tab/>
      </w:r>
      <w:r w:rsidR="003A2C71">
        <w:tab/>
      </w:r>
      <w:r w:rsidR="00A12E4F">
        <w:tab/>
      </w:r>
      <w:r w:rsidR="00A12E4F">
        <w:tab/>
      </w:r>
      <w:r w:rsidR="00A12E4F">
        <w:tab/>
      </w:r>
      <w:r w:rsidR="003A2C71">
        <w:t>13,2</w:t>
      </w:r>
      <w:r w:rsidR="00910F74">
        <w:t xml:space="preserve"> </w:t>
      </w:r>
      <w:r w:rsidR="003A2C71" w:rsidRPr="000B177C">
        <w:t>%</w:t>
      </w:r>
    </w:p>
    <w:p w:rsidR="003A2C71" w:rsidRDefault="003A2C71" w:rsidP="0027353D">
      <w:pPr>
        <w:spacing w:before="0" w:beforeAutospacing="0" w:after="0" w:afterAutospacing="0"/>
        <w:ind w:left="284" w:right="0" w:firstLine="0"/>
      </w:pPr>
      <w:r>
        <w:t>N-N dimetyl-p-toluidin</w:t>
      </w:r>
      <w:r w:rsidR="00910F74">
        <w:t>:</w:t>
      </w:r>
      <w:r>
        <w:tab/>
      </w:r>
      <w:r w:rsidR="00A12E4F">
        <w:tab/>
      </w:r>
      <w:r w:rsidR="00A12E4F">
        <w:tab/>
      </w:r>
      <w:r w:rsidR="00A12E4F">
        <w:tab/>
      </w:r>
      <w:r>
        <w:t>2,4</w:t>
      </w:r>
      <w:r w:rsidR="00910F74">
        <w:t xml:space="preserve"> </w:t>
      </w:r>
      <w:r w:rsidRPr="00005CD8">
        <w:t>%</w:t>
      </w:r>
    </w:p>
    <w:p w:rsidR="003A2C71" w:rsidRDefault="003A2C71" w:rsidP="0027353D">
      <w:pPr>
        <w:spacing w:before="0" w:beforeAutospacing="0" w:after="0" w:afterAutospacing="0"/>
        <w:ind w:left="284" w:right="0" w:firstLine="0"/>
      </w:pPr>
      <w:r>
        <w:t>Hydrochinon</w:t>
      </w:r>
      <w:r w:rsidR="00910F74">
        <w:t>:</w:t>
      </w:r>
      <w:r w:rsidR="007172CF">
        <w:tab/>
      </w:r>
      <w:r w:rsidR="007172CF">
        <w:tab/>
      </w:r>
      <w:r w:rsidR="00A12E4F">
        <w:tab/>
      </w:r>
      <w:r>
        <w:tab/>
      </w:r>
      <w:r>
        <w:tab/>
        <w:t>20</w:t>
      </w:r>
      <w:r w:rsidR="00910F74">
        <w:t xml:space="preserve"> </w:t>
      </w:r>
      <w:r>
        <w:t>ppm</w:t>
      </w:r>
    </w:p>
    <w:p w:rsidR="00231B86" w:rsidRDefault="00231B86" w:rsidP="004B6CC5">
      <w:pPr>
        <w:ind w:left="284" w:right="0" w:firstLine="0"/>
      </w:pPr>
    </w:p>
    <w:p w:rsidR="003A2C71" w:rsidRPr="00231B86" w:rsidRDefault="003A2C71" w:rsidP="00231B86">
      <w:pPr>
        <w:ind w:left="284" w:right="0" w:firstLine="0"/>
        <w:jc w:val="center"/>
        <w:rPr>
          <w:b/>
        </w:rPr>
      </w:pPr>
      <w:r w:rsidRPr="00231B86">
        <w:rPr>
          <w:b/>
        </w:rPr>
        <w:t>PŘÍPRAVA</w:t>
      </w:r>
    </w:p>
    <w:p w:rsidR="003A2C71" w:rsidRDefault="003A2C71" w:rsidP="0027353D">
      <w:pPr>
        <w:spacing w:before="0" w:beforeAutospacing="0" w:after="0" w:afterAutospacing="0"/>
        <w:ind w:left="284" w:right="0" w:firstLine="0"/>
        <w:rPr>
          <w:rFonts w:cs="ArialMT"/>
        </w:rPr>
      </w:pPr>
      <w:r>
        <w:t>Promíchejte všechen prášek s tekutinou, abyste získali homogenn</w:t>
      </w:r>
      <w:r w:rsidR="00877C36">
        <w:t xml:space="preserve">í směs. Připravte směs dle typu </w:t>
      </w:r>
      <w:r>
        <w:t>cementu</w:t>
      </w:r>
      <w:r w:rsidR="00231B86">
        <w:t xml:space="preserve"> (</w:t>
      </w:r>
      <w:r w:rsidR="00A12E4F">
        <w:t>GENTAFIX</w:t>
      </w:r>
      <w:r w:rsidR="003F47ED">
        <w:rPr>
          <w:rFonts w:cs="ArialMT"/>
        </w:rPr>
        <w:t xml:space="preserve"> </w:t>
      </w:r>
      <w:r w:rsidR="00391884">
        <w:rPr>
          <w:rFonts w:cs="ArialMT"/>
        </w:rPr>
        <w:t xml:space="preserve">1 pro manuální zpracování </w:t>
      </w:r>
      <w:r w:rsidR="00231B86">
        <w:rPr>
          <w:rFonts w:cs="ArialMT"/>
        </w:rPr>
        <w:t xml:space="preserve">nebo </w:t>
      </w:r>
      <w:r w:rsidR="00A12E4F">
        <w:rPr>
          <w:rFonts w:cs="ArialMT"/>
        </w:rPr>
        <w:t>GENTAFIX</w:t>
      </w:r>
      <w:r w:rsidR="00231B86" w:rsidRPr="0027353D">
        <w:t xml:space="preserve"> </w:t>
      </w:r>
      <w:r w:rsidR="00391884">
        <w:rPr>
          <w:rFonts w:cs="ArialMT"/>
        </w:rPr>
        <w:t>3</w:t>
      </w:r>
      <w:r w:rsidR="00391884" w:rsidRPr="0027353D">
        <w:rPr>
          <w:sz w:val="32"/>
        </w:rPr>
        <w:t xml:space="preserve"> </w:t>
      </w:r>
      <w:r w:rsidR="00391884">
        <w:rPr>
          <w:rFonts w:cs="ArialMT"/>
        </w:rPr>
        <w:t>pro aplikaci stříkačkou</w:t>
      </w:r>
      <w:r w:rsidR="00231B86">
        <w:rPr>
          <w:rFonts w:cs="ArialMT"/>
        </w:rPr>
        <w:t>)</w:t>
      </w:r>
      <w:r w:rsidR="003F47ED">
        <w:rPr>
          <w:rFonts w:cs="ArialMT"/>
        </w:rPr>
        <w:t>.</w:t>
      </w:r>
    </w:p>
    <w:p w:rsidR="003F47ED" w:rsidRDefault="003F47ED" w:rsidP="0027353D">
      <w:pPr>
        <w:spacing w:before="0" w:beforeAutospacing="0" w:after="0" w:afterAutospacing="0"/>
        <w:ind w:left="284" w:right="0" w:firstLine="0"/>
        <w:rPr>
          <w:rFonts w:cs="ArialMT"/>
        </w:rPr>
      </w:pPr>
      <w:r>
        <w:rPr>
          <w:rFonts w:cs="ArialMT"/>
        </w:rPr>
        <w:t>Podle velikosti dutiny připravte odpovídající množství cementu. Dbejte přitom co možná nejtěsnějšího možného kontaktu s kostí příjemce.</w:t>
      </w:r>
    </w:p>
    <w:p w:rsidR="003F47ED" w:rsidRDefault="003F47ED" w:rsidP="0027353D">
      <w:pPr>
        <w:spacing w:before="0" w:beforeAutospacing="0" w:after="0" w:afterAutospacing="0"/>
        <w:ind w:left="284" w:right="0" w:firstLine="0"/>
        <w:rPr>
          <w:rFonts w:cs="ArialMT"/>
        </w:rPr>
      </w:pPr>
      <w:r>
        <w:rPr>
          <w:rFonts w:cs="ArialMT"/>
        </w:rPr>
        <w:t xml:space="preserve">Konečný vytvrzovací proces </w:t>
      </w:r>
      <w:r w:rsidR="00106ECC">
        <w:rPr>
          <w:rFonts w:cs="ArialMT"/>
        </w:rPr>
        <w:t>probíhá přímo na místě.</w:t>
      </w:r>
    </w:p>
    <w:p w:rsidR="00106ECC" w:rsidRPr="00231B86" w:rsidRDefault="00106ECC" w:rsidP="00231B86">
      <w:pPr>
        <w:ind w:left="284" w:right="0" w:firstLine="0"/>
        <w:jc w:val="center"/>
        <w:rPr>
          <w:rFonts w:cs="ArialMT"/>
          <w:b/>
        </w:rPr>
      </w:pPr>
      <w:r w:rsidRPr="00231B86">
        <w:rPr>
          <w:rFonts w:cs="ArialMT"/>
          <w:b/>
        </w:rPr>
        <w:t>NÁVOD K POUŽITÍ</w:t>
      </w:r>
    </w:p>
    <w:p w:rsidR="00106ECC" w:rsidRPr="00231B86" w:rsidRDefault="00106ECC" w:rsidP="004B6CC5">
      <w:pPr>
        <w:ind w:left="284" w:right="0" w:firstLine="0"/>
        <w:rPr>
          <w:rFonts w:cs="ArialMT"/>
          <w:b/>
        </w:rPr>
      </w:pPr>
      <w:r w:rsidRPr="00231B86">
        <w:rPr>
          <w:rFonts w:cs="ArialMT"/>
          <w:b/>
        </w:rPr>
        <w:t>Prášek:</w:t>
      </w:r>
    </w:p>
    <w:p w:rsidR="00F4241E" w:rsidRDefault="00106ECC" w:rsidP="00F4241E">
      <w:pPr>
        <w:pStyle w:val="Odstavecseseznamem"/>
        <w:numPr>
          <w:ilvl w:val="0"/>
          <w:numId w:val="1"/>
        </w:numPr>
        <w:ind w:right="0"/>
      </w:pPr>
      <w:r>
        <w:t xml:space="preserve">Otevřete </w:t>
      </w:r>
      <w:r w:rsidR="00F4241E">
        <w:t xml:space="preserve">hliníkový ochranný obal a vyjměte z něj </w:t>
      </w:r>
      <w:r>
        <w:t xml:space="preserve">nesterilní </w:t>
      </w:r>
      <w:r w:rsidR="00F4241E">
        <w:t>obsah.</w:t>
      </w:r>
    </w:p>
    <w:p w:rsidR="00106ECC" w:rsidRDefault="00F4241E" w:rsidP="00106ECC">
      <w:pPr>
        <w:pStyle w:val="Odstavecseseznamem"/>
        <w:numPr>
          <w:ilvl w:val="0"/>
          <w:numId w:val="1"/>
        </w:numPr>
        <w:ind w:right="0"/>
      </w:pPr>
      <w:r>
        <w:t>Otevřete druhý nesterilní obal</w:t>
      </w:r>
      <w:r w:rsidR="00106ECC">
        <w:t xml:space="preserve"> a vyjměte z něj sterilní sáček</w:t>
      </w:r>
      <w:r w:rsidR="00231B86">
        <w:t xml:space="preserve"> s práškem</w:t>
      </w:r>
      <w:r w:rsidR="00106ECC">
        <w:t>.</w:t>
      </w:r>
    </w:p>
    <w:p w:rsidR="00106ECC" w:rsidRDefault="00106ECC" w:rsidP="00106ECC">
      <w:pPr>
        <w:pStyle w:val="Odstavecseseznamem"/>
        <w:numPr>
          <w:ilvl w:val="0"/>
          <w:numId w:val="1"/>
        </w:numPr>
        <w:ind w:right="0"/>
      </w:pPr>
      <w:r>
        <w:t>Opatrně otevřete sáček a vsypte všechen prášek do nádoby.</w:t>
      </w:r>
    </w:p>
    <w:p w:rsidR="00106ECC" w:rsidRPr="00231B86" w:rsidRDefault="00106ECC" w:rsidP="00106ECC">
      <w:pPr>
        <w:ind w:left="284" w:right="0" w:firstLine="0"/>
        <w:rPr>
          <w:b/>
        </w:rPr>
      </w:pPr>
      <w:r w:rsidRPr="00231B86">
        <w:rPr>
          <w:b/>
        </w:rPr>
        <w:t>Tekutina:</w:t>
      </w:r>
    </w:p>
    <w:p w:rsidR="00106ECC" w:rsidRDefault="00106ECC" w:rsidP="00106ECC">
      <w:pPr>
        <w:pStyle w:val="Odstavecseseznamem"/>
        <w:numPr>
          <w:ilvl w:val="0"/>
          <w:numId w:val="1"/>
        </w:numPr>
        <w:ind w:right="0"/>
      </w:pPr>
      <w:r>
        <w:t>Otevřete blistr</w:t>
      </w:r>
      <w:r w:rsidR="00670635">
        <w:t>ový obal</w:t>
      </w:r>
      <w:r>
        <w:t xml:space="preserve"> s ampulí a vyjměte sterilní ampuli.</w:t>
      </w:r>
    </w:p>
    <w:p w:rsidR="00106ECC" w:rsidRDefault="00106ECC" w:rsidP="00106ECC">
      <w:pPr>
        <w:pStyle w:val="Odstavecseseznamem"/>
        <w:numPr>
          <w:ilvl w:val="0"/>
          <w:numId w:val="1"/>
        </w:numPr>
        <w:ind w:right="0"/>
      </w:pPr>
      <w:r>
        <w:t>Nikdy neotvírejte ampuli nad nádobou s práškem (hrozí, že skleněné střepy by mohly spadnout do prášku).</w:t>
      </w:r>
    </w:p>
    <w:p w:rsidR="00106ECC" w:rsidRDefault="00231B86" w:rsidP="00106ECC">
      <w:pPr>
        <w:pStyle w:val="Odstavecseseznamem"/>
        <w:numPr>
          <w:ilvl w:val="0"/>
          <w:numId w:val="1"/>
        </w:numPr>
        <w:ind w:right="0"/>
      </w:pPr>
      <w:r>
        <w:t xml:space="preserve">Vylijte všechnu tekutinu </w:t>
      </w:r>
      <w:r w:rsidR="00106ECC">
        <w:t>na prášek.</w:t>
      </w:r>
    </w:p>
    <w:p w:rsidR="00106ECC" w:rsidRDefault="00106ECC" w:rsidP="00106ECC">
      <w:pPr>
        <w:ind w:right="0"/>
        <w:rPr>
          <w:rFonts w:cs="ArialMT"/>
        </w:rPr>
      </w:pPr>
      <w:r w:rsidRPr="00231B86">
        <w:rPr>
          <w:b/>
        </w:rPr>
        <w:t>Způsob aplikace:</w:t>
      </w:r>
      <w:r w:rsidR="00231B86" w:rsidRPr="00231B86">
        <w:rPr>
          <w:b/>
        </w:rPr>
        <w:t xml:space="preserve"> Manuální</w:t>
      </w:r>
      <w:r w:rsidRPr="00231B86">
        <w:rPr>
          <w:b/>
        </w:rPr>
        <w:t xml:space="preserve"> (</w:t>
      </w:r>
      <w:r w:rsidR="00F4241E">
        <w:rPr>
          <w:b/>
        </w:rPr>
        <w:t>GENTAFIX</w:t>
      </w:r>
      <w:r w:rsidRPr="00231B86">
        <w:rPr>
          <w:rFonts w:cs="ArialMT"/>
          <w:b/>
        </w:rPr>
        <w:t xml:space="preserve"> 1)</w:t>
      </w:r>
    </w:p>
    <w:p w:rsidR="00106ECC" w:rsidRDefault="00106ECC" w:rsidP="00106ECC">
      <w:pPr>
        <w:pStyle w:val="Odstavecseseznamem"/>
        <w:numPr>
          <w:ilvl w:val="0"/>
          <w:numId w:val="1"/>
        </w:numPr>
        <w:ind w:right="0"/>
      </w:pPr>
      <w:r>
        <w:t xml:space="preserve">Opatrně míchejte tak, aby se co nejvíce zamezilo vniknutí vzduchových bublinek. </w:t>
      </w:r>
      <w:r w:rsidR="00C66DB3">
        <w:rPr>
          <w:b/>
        </w:rPr>
        <w:t>45 s.</w:t>
      </w:r>
      <w:r w:rsidRPr="00231B86">
        <w:rPr>
          <w:b/>
        </w:rPr>
        <w:t>.</w:t>
      </w:r>
    </w:p>
    <w:p w:rsidR="00106ECC" w:rsidRDefault="00231B86" w:rsidP="00106ECC">
      <w:pPr>
        <w:pStyle w:val="Odstavecseseznamem"/>
        <w:numPr>
          <w:ilvl w:val="0"/>
          <w:numId w:val="1"/>
        </w:numPr>
        <w:ind w:right="0"/>
      </w:pPr>
      <w:r>
        <w:t xml:space="preserve">Nechte směs </w:t>
      </w:r>
      <w:r w:rsidR="00A94FF9">
        <w:t xml:space="preserve">odstát. Pak </w:t>
      </w:r>
      <w:r w:rsidR="00106ECC">
        <w:t xml:space="preserve">hněťte </w:t>
      </w:r>
      <w:r w:rsidR="00A94FF9">
        <w:t xml:space="preserve">cement rukama v rukavicích, dokud se nepřestane lepit na prsty. </w:t>
      </w:r>
      <w:r w:rsidR="00C66DB3">
        <w:rPr>
          <w:b/>
        </w:rPr>
        <w:t>45 s. – 2 min. 15 s.</w:t>
      </w:r>
      <w:r w:rsidR="00A94FF9" w:rsidRPr="00452687">
        <w:rPr>
          <w:b/>
        </w:rPr>
        <w:t>.</w:t>
      </w:r>
    </w:p>
    <w:p w:rsidR="00A94FF9" w:rsidRDefault="00C66DB3" w:rsidP="00106ECC">
      <w:pPr>
        <w:pStyle w:val="Odstavecseseznamem"/>
        <w:numPr>
          <w:ilvl w:val="0"/>
          <w:numId w:val="1"/>
        </w:numPr>
        <w:ind w:right="0"/>
      </w:pPr>
      <w:r>
        <w:rPr>
          <w:b/>
        </w:rPr>
        <w:t>2 min.</w:t>
      </w:r>
      <w:r w:rsidR="00A94FF9" w:rsidRPr="00452687">
        <w:rPr>
          <w:b/>
        </w:rPr>
        <w:t xml:space="preserve"> a 15 s</w:t>
      </w:r>
      <w:r>
        <w:rPr>
          <w:b/>
        </w:rPr>
        <w:t>.</w:t>
      </w:r>
      <w:r w:rsidR="00452687">
        <w:t xml:space="preserve"> </w:t>
      </w:r>
      <w:r w:rsidR="00A94FF9">
        <w:t>po začátku p</w:t>
      </w:r>
      <w:r w:rsidR="0052218A">
        <w:t>řípravy může být směs aplikována</w:t>
      </w:r>
      <w:r w:rsidR="0027353D">
        <w:t xml:space="preserve"> in situ</w:t>
      </w:r>
      <w:r w:rsidR="00A94FF9">
        <w:t>. Pokud je to možné, vytvarujte cement rukama do podoby ko</w:t>
      </w:r>
      <w:r w:rsidR="00850999">
        <w:t>stní dutiny. Vložte implantát</w:t>
      </w:r>
      <w:r>
        <w:t xml:space="preserve"> a pevně </w:t>
      </w:r>
      <w:r w:rsidR="00850999">
        <w:t xml:space="preserve">jej </w:t>
      </w:r>
      <w:r>
        <w:t>držte</w:t>
      </w:r>
      <w:r w:rsidR="00A94FF9">
        <w:t xml:space="preserve"> na svém místě, dokud není cement zcela vytvrzen. Před vytvrzením je třeba odstranit všechen přebytečný cement.</w:t>
      </w:r>
    </w:p>
    <w:p w:rsidR="00A94FF9" w:rsidRDefault="00A94FF9" w:rsidP="00A94FF9">
      <w:pPr>
        <w:pStyle w:val="Odstavecseseznamem"/>
        <w:ind w:left="644" w:right="0" w:firstLine="0"/>
      </w:pPr>
      <w:r>
        <w:lastRenderedPageBreak/>
        <w:t>Doba vy</w:t>
      </w:r>
      <w:r w:rsidR="00901C93">
        <w:t>tvrzení za normálních okolních</w:t>
      </w:r>
      <w:r>
        <w:t xml:space="preserve"> podmínek (teplota 20</w:t>
      </w:r>
      <w:r w:rsidR="00C66DB3">
        <w:t> °C +/-1, vlhkost 50 </w:t>
      </w:r>
      <w:r w:rsidRPr="000B177C">
        <w:rPr>
          <w:lang w:val="pl-PL"/>
        </w:rPr>
        <w:t>%</w:t>
      </w:r>
      <w:r>
        <w:t xml:space="preserve"> +/- 10</w:t>
      </w:r>
      <w:r w:rsidR="00C66DB3">
        <w:t> </w:t>
      </w:r>
      <w:r w:rsidRPr="000B177C">
        <w:rPr>
          <w:lang w:val="pl-PL"/>
        </w:rPr>
        <w:t>%</w:t>
      </w:r>
      <w:r>
        <w:t xml:space="preserve">) je </w:t>
      </w:r>
      <w:r w:rsidR="0027353D">
        <w:rPr>
          <w:b/>
        </w:rPr>
        <w:t>10</w:t>
      </w:r>
      <w:r w:rsidRPr="004C45EB">
        <w:rPr>
          <w:b/>
        </w:rPr>
        <w:t xml:space="preserve"> minut.</w:t>
      </w:r>
    </w:p>
    <w:p w:rsidR="00A94FF9" w:rsidRPr="0052218A" w:rsidRDefault="00A94FF9" w:rsidP="00A94FF9">
      <w:pPr>
        <w:ind w:right="0"/>
        <w:rPr>
          <w:rFonts w:cs="ArialMT"/>
          <w:b/>
        </w:rPr>
      </w:pPr>
      <w:r w:rsidRPr="0052218A">
        <w:rPr>
          <w:b/>
        </w:rPr>
        <w:t>Způsob aplikace: Stříkačka (</w:t>
      </w:r>
      <w:r w:rsidR="009A62F4">
        <w:rPr>
          <w:b/>
        </w:rPr>
        <w:t>GENTAFIX</w:t>
      </w:r>
      <w:r w:rsidRPr="0052218A">
        <w:rPr>
          <w:rFonts w:cs="ArialMT"/>
          <w:b/>
        </w:rPr>
        <w:t xml:space="preserve"> 3)</w:t>
      </w:r>
    </w:p>
    <w:p w:rsidR="00A94FF9" w:rsidRDefault="00A94FF9" w:rsidP="00A94FF9">
      <w:pPr>
        <w:pStyle w:val="Odstavecseseznamem"/>
        <w:numPr>
          <w:ilvl w:val="0"/>
          <w:numId w:val="1"/>
        </w:numPr>
        <w:ind w:right="0"/>
      </w:pPr>
      <w:r>
        <w:t xml:space="preserve">Opatrně míchejte tak, aby se co nejvíce zamezilo vniknutí vzduchových bublinek. </w:t>
      </w:r>
      <w:r w:rsidR="00C66DB3">
        <w:rPr>
          <w:b/>
        </w:rPr>
        <w:t>45 s.</w:t>
      </w:r>
      <w:r w:rsidRPr="004C45EB">
        <w:rPr>
          <w:b/>
        </w:rPr>
        <w:t>.</w:t>
      </w:r>
    </w:p>
    <w:p w:rsidR="00A94FF9" w:rsidRDefault="004C45EB" w:rsidP="00A94FF9">
      <w:pPr>
        <w:pStyle w:val="Odstavecseseznamem"/>
        <w:numPr>
          <w:ilvl w:val="0"/>
          <w:numId w:val="1"/>
        </w:numPr>
        <w:ind w:right="0"/>
      </w:pPr>
      <w:r>
        <w:t>Cement s</w:t>
      </w:r>
      <w:r w:rsidR="003A74C3">
        <w:t xml:space="preserve">tále </w:t>
      </w:r>
      <w:r>
        <w:t xml:space="preserve">v kapalném skupenství </w:t>
      </w:r>
      <w:r w:rsidR="003A74C3">
        <w:t xml:space="preserve">vlijte do stříkačky. </w:t>
      </w:r>
      <w:r w:rsidR="00C66DB3">
        <w:rPr>
          <w:b/>
        </w:rPr>
        <w:t>45 s. – 1 min. 15 s.</w:t>
      </w:r>
      <w:r w:rsidR="003A74C3" w:rsidRPr="004C45EB">
        <w:rPr>
          <w:b/>
        </w:rPr>
        <w:t>.</w:t>
      </w:r>
    </w:p>
    <w:p w:rsidR="003A74C3" w:rsidRDefault="003A74C3" w:rsidP="003A74C3">
      <w:pPr>
        <w:pStyle w:val="Odstavecseseznamem"/>
        <w:numPr>
          <w:ilvl w:val="0"/>
          <w:numId w:val="1"/>
        </w:numPr>
        <w:ind w:right="0"/>
      </w:pPr>
      <w:r>
        <w:t xml:space="preserve">Nechte směs odstát. </w:t>
      </w:r>
      <w:r w:rsidR="00C66DB3">
        <w:rPr>
          <w:b/>
        </w:rPr>
        <w:t>1 min. 15 s. – 2 min. 15 s.</w:t>
      </w:r>
      <w:r w:rsidRPr="004C45EB">
        <w:rPr>
          <w:b/>
        </w:rPr>
        <w:t>.</w:t>
      </w:r>
    </w:p>
    <w:p w:rsidR="004C45EB" w:rsidRPr="00362D90" w:rsidRDefault="00C66DB3" w:rsidP="00937CBA">
      <w:pPr>
        <w:pStyle w:val="Odstavecseseznamem"/>
        <w:numPr>
          <w:ilvl w:val="0"/>
          <w:numId w:val="1"/>
        </w:numPr>
        <w:ind w:left="357" w:right="0" w:firstLine="0"/>
      </w:pPr>
      <w:r>
        <w:rPr>
          <w:b/>
        </w:rPr>
        <w:t>2 min.</w:t>
      </w:r>
      <w:r w:rsidR="003A74C3" w:rsidRPr="00937CBA">
        <w:rPr>
          <w:b/>
        </w:rPr>
        <w:t xml:space="preserve"> 15 s</w:t>
      </w:r>
      <w:r>
        <w:rPr>
          <w:b/>
        </w:rPr>
        <w:t>.</w:t>
      </w:r>
      <w:r w:rsidR="003A74C3">
        <w:t xml:space="preserve"> po začátku přípravy vstříkněte cement do kostní dutiny. </w:t>
      </w:r>
      <w:r w:rsidR="00850999">
        <w:t>Vložte implantát a pevně jej držte na svém místě, dokud není cement zcela vytvrzen</w:t>
      </w:r>
      <w:r w:rsidR="003A74C3">
        <w:t>. Před vytvrzením je třeba odstranit všechen přebytečný cement.</w:t>
      </w:r>
      <w:r w:rsidR="00937CBA">
        <w:t xml:space="preserve"> </w:t>
      </w:r>
      <w:r w:rsidR="003A74C3">
        <w:t>Doba vy</w:t>
      </w:r>
      <w:r w:rsidR="00E3693E">
        <w:t>tvrzení za normálních okolních</w:t>
      </w:r>
      <w:r w:rsidR="003A74C3">
        <w:t xml:space="preserve"> podmínek (teplota 20</w:t>
      </w:r>
      <w:r w:rsidR="00850999">
        <w:t> °C +/-1, vlhkost 50 </w:t>
      </w:r>
      <w:r w:rsidR="003A74C3" w:rsidRPr="000B177C">
        <w:t>%</w:t>
      </w:r>
      <w:r w:rsidR="003A74C3">
        <w:t xml:space="preserve"> +/- 10</w:t>
      </w:r>
      <w:r w:rsidR="00850999">
        <w:t> </w:t>
      </w:r>
      <w:r w:rsidR="003A74C3" w:rsidRPr="000B177C">
        <w:t>%</w:t>
      </w:r>
      <w:r w:rsidR="003A74C3">
        <w:t xml:space="preserve">) je </w:t>
      </w:r>
      <w:r w:rsidR="00850999">
        <w:rPr>
          <w:b/>
        </w:rPr>
        <w:t>1</w:t>
      </w:r>
      <w:r w:rsidR="00FF74FA">
        <w:rPr>
          <w:b/>
        </w:rPr>
        <w:t>2 min..</w:t>
      </w:r>
    </w:p>
    <w:p w:rsidR="003A2C71" w:rsidRDefault="0022593A" w:rsidP="004C45EB">
      <w:pPr>
        <w:ind w:left="284" w:right="0" w:firstLine="0"/>
        <w:jc w:val="center"/>
        <w:rPr>
          <w:b/>
        </w:rPr>
      </w:pPr>
      <w:r>
        <w:rPr>
          <w:b/>
        </w:rPr>
        <w:t>!! UPOZORNĚNÍ</w:t>
      </w:r>
      <w:r w:rsidR="004C45EB" w:rsidRPr="004C45EB">
        <w:rPr>
          <w:b/>
        </w:rPr>
        <w:t xml:space="preserve"> !!</w:t>
      </w:r>
    </w:p>
    <w:p w:rsidR="003A0DE1" w:rsidRDefault="003A0DE1" w:rsidP="003A0DE1">
      <w:pPr>
        <w:ind w:left="284" w:right="0" w:firstLine="0"/>
      </w:pPr>
      <w:r>
        <w:t xml:space="preserve">Doba polymerizace se může lišit v rozmezí 1 až 3 minut v závislosti na době míchání a hnětení, a stejně tak ji ovlivňuje i teplota a vlhkost </w:t>
      </w:r>
      <w:r w:rsidR="00850999">
        <w:t>na operačním sále</w:t>
      </w:r>
      <w:r>
        <w:t xml:space="preserve">. </w:t>
      </w:r>
    </w:p>
    <w:p w:rsidR="003A0DE1" w:rsidRDefault="003A0DE1" w:rsidP="003A0DE1">
      <w:pPr>
        <w:ind w:left="284" w:right="0" w:firstLine="0"/>
      </w:pPr>
      <w:r>
        <w:t xml:space="preserve">Trvání jednotlivých kroků zpracování závisí na teplotě okolního prostředí a stupni vlhkosti </w:t>
      </w:r>
      <w:r w:rsidR="00850999">
        <w:t xml:space="preserve">na </w:t>
      </w:r>
      <w:r>
        <w:t>opera</w:t>
      </w:r>
      <w:r w:rsidR="00850999">
        <w:t xml:space="preserve">čním sále </w:t>
      </w:r>
      <w:r>
        <w:t xml:space="preserve">a rovněž na teplotě jednotlivých složek cementu a vybavení pro míchání a injekční aplikaci. </w:t>
      </w:r>
    </w:p>
    <w:p w:rsidR="00A95403" w:rsidRDefault="00A95403" w:rsidP="00A95403">
      <w:pPr>
        <w:pStyle w:val="Odstavecseseznamem"/>
        <w:numPr>
          <w:ilvl w:val="0"/>
          <w:numId w:val="1"/>
        </w:numPr>
        <w:ind w:right="0"/>
      </w:pPr>
      <w:r>
        <w:t xml:space="preserve">Vysoká teplota okolního prostředí a/nebo vysoká teplota jednotlivých složek a vybavení pro míchání </w:t>
      </w:r>
      <w:r w:rsidR="006E76CC">
        <w:t>a injekční aplikaci urychlují proces</w:t>
      </w:r>
      <w:r>
        <w:t xml:space="preserve"> polymerizace </w:t>
      </w:r>
      <w:r w:rsidR="006E76CC">
        <w:t>cementu, což vede ke zkrácení doby manipulace</w:t>
      </w:r>
      <w:r>
        <w:t xml:space="preserve">, </w:t>
      </w:r>
      <w:r w:rsidR="006E76CC">
        <w:t>kratší době injekční aplikace</w:t>
      </w:r>
      <w:r>
        <w:t xml:space="preserve"> a </w:t>
      </w:r>
      <w:r w:rsidR="00CE03BB">
        <w:t xml:space="preserve">kratšímu </w:t>
      </w:r>
      <w:r>
        <w:t xml:space="preserve">tvrdnutí kostního cementu. </w:t>
      </w:r>
    </w:p>
    <w:p w:rsidR="006E76CC" w:rsidRDefault="006E76CC" w:rsidP="006E76CC">
      <w:pPr>
        <w:pStyle w:val="Odstavecseseznamem"/>
        <w:numPr>
          <w:ilvl w:val="0"/>
          <w:numId w:val="1"/>
        </w:numPr>
        <w:ind w:right="0"/>
      </w:pPr>
      <w:r>
        <w:t xml:space="preserve">Nízká teplota okolního prostředí a/nebo nízká teplota jednotlivých složek a vybavení pro míchání a injekční aplikaci zpomalují proces polymerizace cementu, což vede k prodloužení doby manipulace, delší době injekční aplikace a </w:t>
      </w:r>
      <w:r w:rsidR="00CE03BB">
        <w:t xml:space="preserve">delšímu </w:t>
      </w:r>
      <w:r>
        <w:t xml:space="preserve">tvrdnutí kostního cementu. </w:t>
      </w:r>
    </w:p>
    <w:p w:rsidR="006E76CC" w:rsidRDefault="00271349" w:rsidP="00A95403">
      <w:pPr>
        <w:pStyle w:val="Odstavecseseznamem"/>
        <w:numPr>
          <w:ilvl w:val="0"/>
          <w:numId w:val="1"/>
        </w:numPr>
        <w:ind w:right="0"/>
      </w:pPr>
      <w:r>
        <w:t xml:space="preserve">Před použitím čtěte pozorně </w:t>
      </w:r>
      <w:r w:rsidR="00801D2D">
        <w:t>tento návod.</w:t>
      </w:r>
    </w:p>
    <w:p w:rsidR="00801D2D" w:rsidRDefault="00801D2D" w:rsidP="00A95403">
      <w:pPr>
        <w:pStyle w:val="Odstavecseseznamem"/>
        <w:numPr>
          <w:ilvl w:val="0"/>
          <w:numId w:val="1"/>
        </w:numPr>
        <w:ind w:right="0"/>
      </w:pPr>
      <w:r>
        <w:t>Jakákoliv opakovaná sterilizace výrobku je přísně zakázána. Výrobek je určen pouze k jednorázovému použití. Výrobek je steri</w:t>
      </w:r>
      <w:r w:rsidR="00850999">
        <w:t xml:space="preserve">lní pouze tehdy, pokud obal </w:t>
      </w:r>
      <w:r w:rsidR="000208DA">
        <w:t xml:space="preserve">není </w:t>
      </w:r>
      <w:r w:rsidR="00850999">
        <w:t xml:space="preserve">otevřen a </w:t>
      </w:r>
      <w:r w:rsidR="00280F49">
        <w:t>poškozen</w:t>
      </w:r>
      <w:r>
        <w:t xml:space="preserve">. </w:t>
      </w:r>
    </w:p>
    <w:p w:rsidR="00801D2D" w:rsidRDefault="00801D2D" w:rsidP="00A95403">
      <w:pPr>
        <w:pStyle w:val="Odstavecseseznamem"/>
        <w:numPr>
          <w:ilvl w:val="0"/>
          <w:numId w:val="1"/>
        </w:numPr>
        <w:ind w:right="0"/>
      </w:pPr>
      <w:r>
        <w:t xml:space="preserve">Chirurg musí byt vyškolen v chirurgických technikách používajících tyto cementy a </w:t>
      </w:r>
      <w:r w:rsidR="0046745E">
        <w:t xml:space="preserve">měl by se jimi důsledně řídit. </w:t>
      </w:r>
      <w:r w:rsidR="005C08AB">
        <w:t>–</w:t>
      </w:r>
      <w:r>
        <w:t xml:space="preserve"> </w:t>
      </w:r>
      <w:r w:rsidR="005C08AB">
        <w:t xml:space="preserve">Dodržujte pečlivě pokyny pro přípravu, míchání a manipulaci s výrobkem. </w:t>
      </w:r>
    </w:p>
    <w:p w:rsidR="005C08AB" w:rsidRDefault="005C08AB" w:rsidP="00A95403">
      <w:pPr>
        <w:pStyle w:val="Odstavecseseznamem"/>
        <w:numPr>
          <w:ilvl w:val="0"/>
          <w:numId w:val="1"/>
        </w:numPr>
        <w:ind w:right="0"/>
      </w:pPr>
      <w:r>
        <w:t xml:space="preserve">Během aplikace kostního cementu může dojít k přechodnému poklesu krevního tlaku, čemuž je nutno věnovat pozornost. </w:t>
      </w:r>
      <w:r w:rsidR="00C47464">
        <w:t>Hypotenzní reakce se objevily v rozmezí 10 až 165 sekund po aplikaci kostního cementu a trvaly po dobu 30 sekund a</w:t>
      </w:r>
      <w:r w:rsidR="0046745E">
        <w:t>ž 5 minut. Některé z nich progre</w:t>
      </w:r>
      <w:r w:rsidR="00C47464">
        <w:t xml:space="preserve">dovaly až </w:t>
      </w:r>
      <w:r w:rsidR="00362D90">
        <w:t xml:space="preserve">do </w:t>
      </w:r>
      <w:r w:rsidR="0007132D">
        <w:t>srdeční</w:t>
      </w:r>
      <w:r w:rsidR="00C47464">
        <w:t xml:space="preserve"> zástavy. Během aplikace a bezprostředně po aplikaci kostního cementu musí být proto pacienti důsledně monitorov</w:t>
      </w:r>
      <w:r w:rsidR="0046745E">
        <w:t>áni</w:t>
      </w:r>
      <w:r w:rsidR="00C47464">
        <w:t xml:space="preserve"> z hlediska jakékoliv změny krevního tlaku.   </w:t>
      </w:r>
    </w:p>
    <w:p w:rsidR="00C47464" w:rsidRDefault="00C47464" w:rsidP="00A95403">
      <w:pPr>
        <w:pStyle w:val="Odstavecseseznamem"/>
        <w:numPr>
          <w:ilvl w:val="0"/>
          <w:numId w:val="1"/>
        </w:numPr>
        <w:ind w:right="0"/>
      </w:pPr>
      <w:r>
        <w:t xml:space="preserve">Metylmetakrylát může vyvolat u vysoce rizikových pacientů přecitlivělost, které může vést k rozvoji anafylaktické reakce. </w:t>
      </w:r>
    </w:p>
    <w:p w:rsidR="00C47464" w:rsidRDefault="0046745E" w:rsidP="00A95403">
      <w:pPr>
        <w:pStyle w:val="Odstavecseseznamem"/>
        <w:numPr>
          <w:ilvl w:val="0"/>
          <w:numId w:val="1"/>
        </w:numPr>
        <w:ind w:right="0"/>
      </w:pPr>
      <w:r>
        <w:t>Co se týká</w:t>
      </w:r>
      <w:r w:rsidR="00C47464">
        <w:t xml:space="preserve"> bezpečného použití tohoto cementu u dětí a těhotných žen, nejsou k dispozici žádná dostačující data. </w:t>
      </w:r>
    </w:p>
    <w:p w:rsidR="00C47464" w:rsidRDefault="00C47464" w:rsidP="00A95403">
      <w:pPr>
        <w:pStyle w:val="Odstavecseseznamem"/>
        <w:numPr>
          <w:ilvl w:val="0"/>
          <w:numId w:val="1"/>
        </w:numPr>
        <w:ind w:right="0"/>
      </w:pPr>
      <w:r>
        <w:t>Dbejte na to, abyste se vyhnuli n</w:t>
      </w:r>
      <w:r w:rsidR="00A137E9">
        <w:t xml:space="preserve">adměrné expozici koncentrovaným </w:t>
      </w:r>
      <w:r>
        <w:t>výparů</w:t>
      </w:r>
      <w:r w:rsidR="00A137E9">
        <w:t>m</w:t>
      </w:r>
      <w:r>
        <w:t xml:space="preserve"> </w:t>
      </w:r>
      <w:r w:rsidR="00A137E9">
        <w:t>pocházejícím z</w:t>
      </w:r>
      <w:r w:rsidR="0007132D">
        <w:t> </w:t>
      </w:r>
      <w:r>
        <w:t>monomeru</w:t>
      </w:r>
      <w:r w:rsidR="00905B1B">
        <w:t xml:space="preserve">, které mohou dráždit dýchací cesty, oči nebo dokonce játra. </w:t>
      </w:r>
    </w:p>
    <w:p w:rsidR="00905B1B" w:rsidRDefault="00DB7263" w:rsidP="00A95403">
      <w:pPr>
        <w:pStyle w:val="Odstavecseseznamem"/>
        <w:numPr>
          <w:ilvl w:val="0"/>
          <w:numId w:val="1"/>
        </w:numPr>
        <w:ind w:right="0"/>
      </w:pPr>
      <w:r>
        <w:t>Před samotným provedením</w:t>
      </w:r>
      <w:r w:rsidR="00940E4E">
        <w:t xml:space="preserve"> postupu</w:t>
      </w:r>
      <w:r w:rsidR="00905B1B">
        <w:t xml:space="preserve"> vždy zkontrolujte stav tekutiny</w:t>
      </w:r>
      <w:r w:rsidR="00940E4E">
        <w:t xml:space="preserve">. Tekutinu nepoužívejte, pokud vykazuje jakékoliv známky zahuštění nebo předčasné polymerizace. </w:t>
      </w:r>
    </w:p>
    <w:p w:rsidR="00940E4E" w:rsidRDefault="00940E4E" w:rsidP="00A95403">
      <w:pPr>
        <w:pStyle w:val="Odstavecseseznamem"/>
        <w:numPr>
          <w:ilvl w:val="0"/>
          <w:numId w:val="1"/>
        </w:numPr>
        <w:ind w:right="0"/>
      </w:pPr>
      <w:r>
        <w:t>Tekutina se nesmí dostat do kontaktu s gumovými nebo latexovými rukavicemi. Tekutina působí jako silné rozpouštědlo tuků, a proto při kontaktu s rukavicemi může dojít k jejich rozpuštění a k následnému poškození tkání. Použití druhého páru rukavic může snížit riziko reakcí z přecitlivělosti.</w:t>
      </w:r>
    </w:p>
    <w:p w:rsidR="00D855B1" w:rsidRDefault="00D855B1" w:rsidP="00A95403">
      <w:pPr>
        <w:pStyle w:val="Odstavecseseznamem"/>
        <w:numPr>
          <w:ilvl w:val="0"/>
          <w:numId w:val="1"/>
        </w:numPr>
        <w:ind w:right="0"/>
      </w:pPr>
      <w:r>
        <w:lastRenderedPageBreak/>
        <w:t xml:space="preserve">Personál </w:t>
      </w:r>
      <w:r w:rsidR="00A53EFF">
        <w:t xml:space="preserve">nosící kontaktní čočky </w:t>
      </w:r>
      <w:r w:rsidR="004516E3">
        <w:t xml:space="preserve">nesmí s kostním cementem manipulovat a ani </w:t>
      </w:r>
      <w:r w:rsidR="00F665D1">
        <w:t>se účastnit</w:t>
      </w:r>
      <w:r w:rsidR="004516E3">
        <w:t xml:space="preserve"> jeho míchání.</w:t>
      </w:r>
    </w:p>
    <w:p w:rsidR="004516E3" w:rsidRDefault="004516E3" w:rsidP="00A95403">
      <w:pPr>
        <w:pStyle w:val="Odstavecseseznamem"/>
        <w:numPr>
          <w:ilvl w:val="0"/>
          <w:numId w:val="1"/>
        </w:numPr>
        <w:ind w:right="0"/>
      </w:pPr>
      <w:r>
        <w:t xml:space="preserve">Spojení cement – kost může být ovlivněno nesprávnou fixací a neočekávanými pooperačními </w:t>
      </w:r>
      <w:r w:rsidR="00B83188">
        <w:t xml:space="preserve">příhodami. Tyto faktory </w:t>
      </w:r>
      <w:r>
        <w:t xml:space="preserve">mohou způsobovat mikroskopické pohyby mezi cementem </w:t>
      </w:r>
      <w:r w:rsidR="00B83188">
        <w:t xml:space="preserve">a povrchem kosti a to může následně vést k tvorbě vrstvy fibrózní tkáně mezi cementem a povrchem kosti. U všech pacientů se proto doporučuje pravidelný a dlouhodobý lékařský dohled. </w:t>
      </w:r>
    </w:p>
    <w:p w:rsidR="00E31A27" w:rsidRDefault="00E31A27" w:rsidP="00E31A27">
      <w:pPr>
        <w:pStyle w:val="Odstavecseseznamem"/>
        <w:ind w:left="644" w:right="0" w:firstLine="0"/>
      </w:pPr>
    </w:p>
    <w:p w:rsidR="0022593A" w:rsidRDefault="007836D4" w:rsidP="007836D4">
      <w:pPr>
        <w:pStyle w:val="Odstavecseseznamem"/>
        <w:ind w:left="644" w:right="0" w:firstLine="0"/>
        <w:jc w:val="center"/>
        <w:rPr>
          <w:b/>
        </w:rPr>
      </w:pPr>
      <w:r w:rsidRPr="007836D4">
        <w:rPr>
          <w:b/>
        </w:rPr>
        <w:t>ZVLÁŠTNÍ OPATŘENÍ PRO POUŽITÍ</w:t>
      </w:r>
    </w:p>
    <w:p w:rsidR="007836D4" w:rsidRPr="007836D4" w:rsidRDefault="007836D4" w:rsidP="007836D4">
      <w:pPr>
        <w:pStyle w:val="Odstavecseseznamem"/>
        <w:numPr>
          <w:ilvl w:val="0"/>
          <w:numId w:val="1"/>
        </w:numPr>
        <w:ind w:right="0"/>
        <w:rPr>
          <w:b/>
        </w:rPr>
      </w:pPr>
      <w:r>
        <w:t xml:space="preserve">Chirurg musí být vyškolen v chirurgických technikách používajících kostní cement, musí být obeznámen s vlastnostmi, charakteristikami manipulace a aplikace kostního cementu a musí se řídit pokyny pro použití. </w:t>
      </w:r>
    </w:p>
    <w:p w:rsidR="007836D4" w:rsidRPr="007836D4" w:rsidRDefault="007836D4" w:rsidP="007836D4">
      <w:pPr>
        <w:pStyle w:val="Odstavecseseznamem"/>
        <w:numPr>
          <w:ilvl w:val="0"/>
          <w:numId w:val="1"/>
        </w:numPr>
        <w:ind w:right="0"/>
        <w:rPr>
          <w:b/>
        </w:rPr>
      </w:pPr>
      <w:r>
        <w:t>V případ</w:t>
      </w:r>
      <w:r w:rsidR="00A137E9">
        <w:t>ě nedodržení instrukcí uvedených</w:t>
      </w:r>
      <w:r>
        <w:t xml:space="preserve"> v tomto letáku hrozí výskyt nežádoucích příhod.  </w:t>
      </w:r>
    </w:p>
    <w:p w:rsidR="007836D4" w:rsidRPr="008A4AB5" w:rsidRDefault="007836D4" w:rsidP="007836D4">
      <w:pPr>
        <w:pStyle w:val="Odstavecseseznamem"/>
        <w:numPr>
          <w:ilvl w:val="0"/>
          <w:numId w:val="1"/>
        </w:numPr>
        <w:ind w:right="0"/>
        <w:rPr>
          <w:b/>
        </w:rPr>
      </w:pPr>
      <w:r>
        <w:t xml:space="preserve">Doba manipulace s cementem </w:t>
      </w:r>
      <w:r w:rsidR="008A4AB5">
        <w:t xml:space="preserve">byla stanovena pomocí systému doporučeného společností Teknimed. </w:t>
      </w:r>
    </w:p>
    <w:p w:rsidR="008A4AB5" w:rsidRPr="0002127E" w:rsidRDefault="008A4AB5" w:rsidP="007836D4">
      <w:pPr>
        <w:pStyle w:val="Odstavecseseznamem"/>
        <w:numPr>
          <w:ilvl w:val="0"/>
          <w:numId w:val="1"/>
        </w:numPr>
        <w:ind w:right="0"/>
        <w:rPr>
          <w:b/>
        </w:rPr>
      </w:pPr>
      <w:r>
        <w:t>Zajistěte řádnou ventilaci operačního sálu</w:t>
      </w:r>
      <w:r w:rsidR="0002127E">
        <w:t>, abyste co možná nejvíce eliminovali výpary z monomeru.</w:t>
      </w:r>
    </w:p>
    <w:p w:rsidR="00204AD7" w:rsidRDefault="0002127E" w:rsidP="00DB5AB4">
      <w:pPr>
        <w:pStyle w:val="Odstavecseseznamem"/>
        <w:numPr>
          <w:ilvl w:val="0"/>
          <w:numId w:val="1"/>
        </w:numPr>
        <w:ind w:left="357" w:right="0" w:firstLine="0"/>
      </w:pPr>
      <w:r>
        <w:t>Monomer je prchavá a hořlavá tekutina. Bylo zaznamen</w:t>
      </w:r>
      <w:r w:rsidR="00A137E9">
        <w:t>áno vznícení výparů monomeru, ke</w:t>
      </w:r>
      <w:r>
        <w:t xml:space="preserve"> kterému došlo při použit</w:t>
      </w:r>
      <w:r w:rsidR="002B695B">
        <w:t>í elektrokauteru v místě operačního výkonu</w:t>
      </w:r>
      <w:r>
        <w:t xml:space="preserve"> v blízkosti čerstvě implantovaného kostního c</w:t>
      </w:r>
      <w:r w:rsidR="00A01DDA">
        <w:t>ementu. Mí</w:t>
      </w:r>
      <w:r w:rsidR="00A137E9">
        <w:t xml:space="preserve">stnost, v níž se cement používá, </w:t>
      </w:r>
      <w:r w:rsidR="00A01DDA">
        <w:t>musí být ventilována. Inhalace této t</w:t>
      </w:r>
      <w:r w:rsidR="00A137E9">
        <w:t xml:space="preserve">ekutiny může způsobit ospalost. </w:t>
      </w:r>
    </w:p>
    <w:p w:rsidR="00DB5AB4" w:rsidRDefault="00A137E9" w:rsidP="00204AD7">
      <w:pPr>
        <w:pStyle w:val="Odstavecseseznamem"/>
        <w:ind w:left="357" w:right="0" w:firstLine="0"/>
      </w:pPr>
      <w:r>
        <w:t>Aby se předešlo kontaminaci</w:t>
      </w:r>
      <w:r w:rsidR="00B27B05">
        <w:t xml:space="preserve"> z krve a kostní dřeně</w:t>
      </w:r>
      <w:r w:rsidR="00A01DDA">
        <w:t xml:space="preserve">, musí být dutina před aplikací kostního cementu </w:t>
      </w:r>
      <w:r w:rsidR="00DB5AB4">
        <w:t xml:space="preserve">do kosti </w:t>
      </w:r>
      <w:r w:rsidR="00A01DDA">
        <w:t>důklad</w:t>
      </w:r>
      <w:r w:rsidR="00DB5AB4">
        <w:t xml:space="preserve">ně očištěna, promyta a osušena.                                   </w:t>
      </w:r>
      <w:r w:rsidR="00C01859">
        <w:t xml:space="preserve">                            Vložení</w:t>
      </w:r>
      <w:r w:rsidR="00DB5AB4">
        <w:t xml:space="preserve"> cizího tělesa do tkání zvyšuje </w:t>
      </w:r>
      <w:r w:rsidR="009278A7">
        <w:t xml:space="preserve">v pooperačním období </w:t>
      </w:r>
      <w:r w:rsidR="00DB5AB4">
        <w:t xml:space="preserve">běžné riziko vzniku infekce v souvislosti s operačním výkonem. </w:t>
      </w:r>
    </w:p>
    <w:p w:rsidR="00402A05" w:rsidRDefault="00402A05" w:rsidP="00402A05">
      <w:pPr>
        <w:pStyle w:val="Odstavecseseznamem"/>
        <w:ind w:left="357" w:right="0" w:firstLine="0"/>
      </w:pPr>
      <w:r>
        <w:t>Z hlediska nefrotoxicity a ototoxicity gentamicinu je nutno provést následující opatření:</w:t>
      </w:r>
    </w:p>
    <w:p w:rsidR="00402A05" w:rsidRDefault="00402A05" w:rsidP="00402A05">
      <w:pPr>
        <w:pStyle w:val="Odstavecseseznamem"/>
        <w:numPr>
          <w:ilvl w:val="0"/>
          <w:numId w:val="1"/>
        </w:numPr>
        <w:ind w:right="0"/>
      </w:pPr>
      <w:r>
        <w:t xml:space="preserve">v případě zhoršených renálních funkcí se gentamicin použije pouze tehdy, pokud je to absolutně nezbytné </w:t>
      </w:r>
    </w:p>
    <w:p w:rsidR="00402A05" w:rsidRDefault="00402A05" w:rsidP="00402A05">
      <w:pPr>
        <w:pStyle w:val="Odstavecseseznamem"/>
        <w:numPr>
          <w:ilvl w:val="0"/>
          <w:numId w:val="1"/>
        </w:numPr>
        <w:ind w:right="0"/>
      </w:pPr>
      <w:r>
        <w:t xml:space="preserve">Gentamicin nepoužívejte v kombinaci s velmi aktivními diuretiky a všeobecně je nekombinujte s ototoxickými a </w:t>
      </w:r>
      <w:r w:rsidR="00D00C09">
        <w:t>nef</w:t>
      </w:r>
      <w:r>
        <w:t>rotoxickými přípravky.</w:t>
      </w:r>
    </w:p>
    <w:p w:rsidR="00A419CD" w:rsidRDefault="00D00C09" w:rsidP="0098234B">
      <w:pPr>
        <w:pStyle w:val="Odstavecseseznamem"/>
        <w:numPr>
          <w:ilvl w:val="0"/>
          <w:numId w:val="1"/>
        </w:numPr>
        <w:ind w:right="0"/>
      </w:pPr>
      <w:r>
        <w:t xml:space="preserve">Gentamicin může zvyšovat účinek kurare, myorelaxancií a všeobecně anestetik. Anesteziologové musí být během operace informováni, pokud se do těla pacienta aplikuje kostní cement. </w:t>
      </w:r>
    </w:p>
    <w:p w:rsidR="0098234B" w:rsidRDefault="0098234B" w:rsidP="0098234B">
      <w:pPr>
        <w:pStyle w:val="Odstavecseseznamem"/>
        <w:ind w:left="644" w:right="0" w:firstLine="0"/>
      </w:pPr>
    </w:p>
    <w:p w:rsidR="00A419CD" w:rsidRDefault="00A419CD" w:rsidP="00A419CD">
      <w:pPr>
        <w:pStyle w:val="Odstavecseseznamem"/>
        <w:ind w:left="357" w:right="0" w:firstLine="0"/>
      </w:pPr>
      <w:r>
        <w:t xml:space="preserve">Tento přípravek je balen a sterilizován pouze k jednorázovému použití. </w:t>
      </w:r>
      <w:r w:rsidR="00411AD8">
        <w:t xml:space="preserve">Opakovaně jej nepoužívejte, nezpracovávejte ani nesterilizujte. Opakované použití, zpracování či sterilizace přípravku mohou ohrozit jeho strukturální integritu a/nebo způsobit jeho selhání, což může dále u pacienta vést ke vzniku poranění, k rozvoji nemoci či k úmrtí.  </w:t>
      </w:r>
      <w:r w:rsidR="00F15B6B">
        <w:t>Opakované zpracování nebo sterilizace přípravku určeného k jednorázovému použití může rovněž vytvářet riziko kontaminace a/</w:t>
      </w:r>
      <w:r w:rsidR="00C01859">
        <w:t>nebo vyvolat u pacienta infekci</w:t>
      </w:r>
      <w:r w:rsidR="00F15B6B">
        <w:t xml:space="preserve"> či zkříženou inf</w:t>
      </w:r>
      <w:r w:rsidR="00C01859">
        <w:t>ekci, zejména přenos</w:t>
      </w:r>
      <w:r w:rsidR="00F15B6B">
        <w:t xml:space="preserve"> infekčního (infekčních) onemocnění z jednoho pacienta na druhého. </w:t>
      </w:r>
      <w:r w:rsidR="00C853A8">
        <w:t xml:space="preserve">Kontaminace přípravku může vést </w:t>
      </w:r>
      <w:r w:rsidR="002C3F89">
        <w:t xml:space="preserve">ke vzniku poranění, k rozvoji nemoci nebo dokonce k úmrtí pacienta. </w:t>
      </w:r>
    </w:p>
    <w:p w:rsidR="0098234B" w:rsidRDefault="0098234B" w:rsidP="002C3F89">
      <w:pPr>
        <w:pStyle w:val="Odstavecseseznamem"/>
        <w:ind w:left="357" w:right="0" w:firstLine="0"/>
        <w:jc w:val="center"/>
      </w:pPr>
    </w:p>
    <w:p w:rsidR="0098234B" w:rsidRDefault="0098234B" w:rsidP="002C3F89">
      <w:pPr>
        <w:pStyle w:val="Odstavecseseznamem"/>
        <w:ind w:left="357" w:right="0" w:firstLine="0"/>
        <w:jc w:val="center"/>
      </w:pPr>
    </w:p>
    <w:p w:rsidR="002C3F89" w:rsidRDefault="002C3F89" w:rsidP="002C3F89">
      <w:pPr>
        <w:pStyle w:val="Odstavecseseznamem"/>
        <w:ind w:left="357" w:right="0" w:firstLine="0"/>
        <w:jc w:val="center"/>
        <w:rPr>
          <w:b/>
        </w:rPr>
      </w:pPr>
      <w:r w:rsidRPr="002C3F89">
        <w:rPr>
          <w:b/>
        </w:rPr>
        <w:t>INDIKACE</w:t>
      </w:r>
    </w:p>
    <w:p w:rsidR="00513855" w:rsidRDefault="00380D5D" w:rsidP="00513855">
      <w:pPr>
        <w:pStyle w:val="Odstavecseseznamem"/>
        <w:ind w:left="357" w:right="0" w:firstLine="0"/>
        <w:rPr>
          <w:rFonts w:cs="ArialMT"/>
        </w:rPr>
      </w:pPr>
      <w:r>
        <w:t xml:space="preserve">Kostní cement </w:t>
      </w:r>
      <w:r w:rsidR="006E4AC3">
        <w:t>GENTAFIX s gentamicinem</w:t>
      </w:r>
      <w:r>
        <w:rPr>
          <w:rFonts w:cs="ArialMT"/>
        </w:rPr>
        <w:t xml:space="preserve"> je určen k </w:t>
      </w:r>
      <w:r w:rsidR="006E4AC3">
        <w:rPr>
          <w:rFonts w:cs="ArialMT"/>
        </w:rPr>
        <w:t>použití při artroplastických výkonech na kyčelním, ko</w:t>
      </w:r>
      <w:r w:rsidR="006E4230">
        <w:rPr>
          <w:rFonts w:cs="ArialMT"/>
        </w:rPr>
        <w:t>lenním kloubu a jiných kloubech. Slouží</w:t>
      </w:r>
      <w:r w:rsidR="006E4AC3">
        <w:rPr>
          <w:rFonts w:cs="ArialMT"/>
        </w:rPr>
        <w:t xml:space="preserve"> k</w:t>
      </w:r>
      <w:r w:rsidR="006E4230">
        <w:rPr>
          <w:rFonts w:cs="ArialMT"/>
        </w:rPr>
        <w:t xml:space="preserve"> </w:t>
      </w:r>
      <w:r>
        <w:rPr>
          <w:rFonts w:cs="ArialMT"/>
        </w:rPr>
        <w:t xml:space="preserve">fixaci </w:t>
      </w:r>
      <w:r w:rsidR="006E4230">
        <w:rPr>
          <w:rFonts w:cs="ArialMT"/>
        </w:rPr>
        <w:t>plastových a kovových</w:t>
      </w:r>
      <w:r w:rsidR="00B27F6D">
        <w:rPr>
          <w:rFonts w:cs="ArialMT"/>
        </w:rPr>
        <w:t xml:space="preserve"> částí</w:t>
      </w:r>
      <w:r w:rsidR="006E4AC3">
        <w:rPr>
          <w:rFonts w:cs="ArialMT"/>
        </w:rPr>
        <w:t xml:space="preserve"> </w:t>
      </w:r>
      <w:r>
        <w:rPr>
          <w:rFonts w:cs="ArialMT"/>
        </w:rPr>
        <w:t>protéz k živé kosti</w:t>
      </w:r>
      <w:r w:rsidR="006E4230">
        <w:rPr>
          <w:rFonts w:cs="ArialMT"/>
        </w:rPr>
        <w:t>, pokud je potřebná rekonstrukce</w:t>
      </w:r>
      <w:r>
        <w:rPr>
          <w:rFonts w:cs="ArialMT"/>
        </w:rPr>
        <w:t xml:space="preserve"> z důvodu revize předchozí artroplastiky</w:t>
      </w:r>
      <w:r w:rsidR="006E4230">
        <w:rPr>
          <w:rFonts w:cs="ArialMT"/>
        </w:rPr>
        <w:t xml:space="preserve"> pro kloubní infekci.</w:t>
      </w:r>
      <w:r w:rsidR="006E4AC3">
        <w:rPr>
          <w:rFonts w:cs="ArialMT"/>
        </w:rPr>
        <w:t xml:space="preserve"> </w:t>
      </w:r>
      <w:r w:rsidR="006E4230">
        <w:rPr>
          <w:rFonts w:cs="ArialMT"/>
        </w:rPr>
        <w:t>Tento cement slouží k připojení nové protézy v d</w:t>
      </w:r>
      <w:r w:rsidR="0098234B">
        <w:rPr>
          <w:rFonts w:cs="ArialMT"/>
        </w:rPr>
        <w:t>ruhém kroku dvoustupňové revize</w:t>
      </w:r>
      <w:r w:rsidR="006E4230">
        <w:rPr>
          <w:rFonts w:cs="ArialMT"/>
        </w:rPr>
        <w:t xml:space="preserve"> poté, co dojde k vyčištění počáteční infekce</w:t>
      </w:r>
      <w:r>
        <w:rPr>
          <w:rFonts w:cs="ArialMT"/>
        </w:rPr>
        <w:t xml:space="preserve">. </w:t>
      </w:r>
    </w:p>
    <w:p w:rsidR="00380D5D" w:rsidRDefault="00380D5D" w:rsidP="00513855">
      <w:pPr>
        <w:pStyle w:val="Odstavecseseznamem"/>
        <w:ind w:left="357" w:right="0" w:firstLine="0"/>
        <w:rPr>
          <w:rFonts w:cs="ArialMT"/>
        </w:rPr>
      </w:pPr>
    </w:p>
    <w:p w:rsidR="00380D5D" w:rsidRDefault="00380D5D" w:rsidP="00380D5D">
      <w:pPr>
        <w:pStyle w:val="Odstavecseseznamem"/>
        <w:ind w:left="357" w:right="0" w:firstLine="0"/>
        <w:jc w:val="center"/>
        <w:rPr>
          <w:rFonts w:cs="ArialMT"/>
          <w:b/>
        </w:rPr>
      </w:pPr>
      <w:r w:rsidRPr="00380D5D">
        <w:rPr>
          <w:rFonts w:cs="ArialMT"/>
          <w:b/>
        </w:rPr>
        <w:t>KONTRAINDIKACE</w:t>
      </w:r>
    </w:p>
    <w:p w:rsidR="006E4230" w:rsidRPr="006E4230" w:rsidRDefault="006E4230" w:rsidP="006E4230">
      <w:pPr>
        <w:pStyle w:val="Odstavecseseznamem"/>
        <w:numPr>
          <w:ilvl w:val="0"/>
          <w:numId w:val="1"/>
        </w:numPr>
        <w:ind w:right="0"/>
        <w:rPr>
          <w:rFonts w:cs="ArialMT"/>
        </w:rPr>
      </w:pPr>
      <w:r>
        <w:rPr>
          <w:rFonts w:cs="ArialMT"/>
        </w:rPr>
        <w:lastRenderedPageBreak/>
        <w:t>Primární ortopedické chirurgické výkony.</w:t>
      </w:r>
    </w:p>
    <w:p w:rsidR="00380D5D" w:rsidRDefault="00380D5D" w:rsidP="0098234B">
      <w:pPr>
        <w:pStyle w:val="Odstavecseseznamem"/>
        <w:numPr>
          <w:ilvl w:val="0"/>
          <w:numId w:val="1"/>
        </w:numPr>
        <w:ind w:right="0"/>
        <w:rPr>
          <w:rFonts w:cs="ArialMT"/>
        </w:rPr>
      </w:pPr>
      <w:r>
        <w:rPr>
          <w:rFonts w:cs="ArialMT"/>
        </w:rPr>
        <w:t>Metabolické poruchy</w:t>
      </w:r>
    </w:p>
    <w:p w:rsidR="00380D5D" w:rsidRDefault="00380D5D" w:rsidP="0098234B">
      <w:pPr>
        <w:pStyle w:val="Odstavecseseznamem"/>
        <w:numPr>
          <w:ilvl w:val="0"/>
          <w:numId w:val="1"/>
        </w:numPr>
        <w:ind w:right="0"/>
        <w:rPr>
          <w:rFonts w:cs="ArialMT"/>
        </w:rPr>
      </w:pPr>
      <w:r>
        <w:rPr>
          <w:rFonts w:cs="ArialMT"/>
        </w:rPr>
        <w:t>Použití v přítomnosti aktivní či neúplně vyléčené infekce</w:t>
      </w:r>
      <w:r w:rsidR="006518E3">
        <w:rPr>
          <w:rFonts w:cs="ArialMT"/>
        </w:rPr>
        <w:t xml:space="preserve"> v místě aplikace cementu. </w:t>
      </w:r>
    </w:p>
    <w:p w:rsidR="006518E3" w:rsidRDefault="006518E3" w:rsidP="0098234B">
      <w:pPr>
        <w:pStyle w:val="Odstavecseseznamem"/>
        <w:numPr>
          <w:ilvl w:val="0"/>
          <w:numId w:val="1"/>
        </w:numPr>
        <w:ind w:right="0"/>
        <w:rPr>
          <w:rFonts w:cs="ArialMT"/>
        </w:rPr>
      </w:pPr>
      <w:r>
        <w:rPr>
          <w:rFonts w:cs="ArialMT"/>
        </w:rPr>
        <w:t xml:space="preserve">Oblast kosti s přítomnou infekcí bez možnosti regenerace. </w:t>
      </w:r>
    </w:p>
    <w:p w:rsidR="006518E3" w:rsidRDefault="006518E3" w:rsidP="0098234B">
      <w:pPr>
        <w:pStyle w:val="Odstavecseseznamem"/>
        <w:numPr>
          <w:ilvl w:val="0"/>
          <w:numId w:val="1"/>
        </w:numPr>
        <w:ind w:right="0"/>
        <w:rPr>
          <w:rFonts w:cs="ArialMT"/>
        </w:rPr>
      </w:pPr>
      <w:r>
        <w:rPr>
          <w:rFonts w:cs="ArialMT"/>
        </w:rPr>
        <w:t>Pacienti alergičtí nebo citliví na jakoukoliv složku přípravku</w:t>
      </w:r>
      <w:r w:rsidR="00EF66B6">
        <w:rPr>
          <w:rFonts w:cs="ArialMT"/>
        </w:rPr>
        <w:t>, včetně gentamicin sulfátu</w:t>
      </w:r>
      <w:r>
        <w:rPr>
          <w:rFonts w:cs="ArialMT"/>
        </w:rPr>
        <w:t xml:space="preserve">. </w:t>
      </w:r>
    </w:p>
    <w:p w:rsidR="00EF66B6" w:rsidRDefault="00EF66B6" w:rsidP="00EF66B6">
      <w:pPr>
        <w:pStyle w:val="Odstavecseseznamem"/>
        <w:numPr>
          <w:ilvl w:val="0"/>
          <w:numId w:val="1"/>
        </w:numPr>
        <w:ind w:right="0"/>
        <w:rPr>
          <w:rFonts w:cs="ArialMT"/>
        </w:rPr>
      </w:pPr>
      <w:r>
        <w:rPr>
          <w:rFonts w:cs="ArialMT"/>
        </w:rPr>
        <w:t xml:space="preserve">Přecitlivělost na gentamicin nebo antibiotika z třídy aminoglykosidů.  </w:t>
      </w:r>
    </w:p>
    <w:p w:rsidR="00EF66B6" w:rsidRDefault="00EF66B6" w:rsidP="00EF66B6">
      <w:pPr>
        <w:pStyle w:val="Odstavecseseznamem"/>
        <w:numPr>
          <w:ilvl w:val="0"/>
          <w:numId w:val="1"/>
        </w:numPr>
        <w:ind w:right="0"/>
        <w:rPr>
          <w:rFonts w:cs="ArialMT"/>
        </w:rPr>
      </w:pPr>
      <w:r>
        <w:rPr>
          <w:rFonts w:cs="ArialMT"/>
        </w:rPr>
        <w:t>Lékové interakce s gentamicinem.</w:t>
      </w:r>
    </w:p>
    <w:p w:rsidR="006518E3" w:rsidRDefault="006518E3" w:rsidP="00380D5D">
      <w:pPr>
        <w:pStyle w:val="Odstavecseseznamem"/>
        <w:ind w:left="357" w:right="0" w:firstLine="0"/>
        <w:rPr>
          <w:rFonts w:cs="ArialMT"/>
        </w:rPr>
      </w:pPr>
    </w:p>
    <w:p w:rsidR="006518E3" w:rsidRDefault="006518E3" w:rsidP="006518E3">
      <w:pPr>
        <w:pStyle w:val="Odstavecseseznamem"/>
        <w:ind w:left="357" w:right="0" w:firstLine="0"/>
        <w:jc w:val="center"/>
        <w:rPr>
          <w:rFonts w:cs="ArialMT"/>
          <w:b/>
        </w:rPr>
      </w:pPr>
    </w:p>
    <w:p w:rsidR="006518E3" w:rsidRDefault="00135799" w:rsidP="006518E3">
      <w:pPr>
        <w:pStyle w:val="Odstavecseseznamem"/>
        <w:ind w:left="357" w:right="0" w:firstLine="0"/>
        <w:jc w:val="center"/>
        <w:rPr>
          <w:rFonts w:cs="ArialMT"/>
          <w:b/>
        </w:rPr>
      </w:pPr>
      <w:r>
        <w:rPr>
          <w:rFonts w:cs="ArialMT"/>
          <w:b/>
        </w:rPr>
        <w:t>NEŽÁDOUCÍ PŘÍHODY</w:t>
      </w:r>
    </w:p>
    <w:p w:rsidR="006518E3" w:rsidRDefault="00B66B09" w:rsidP="006518E3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Bylo zaznamenáno, že cement může buďto přímo nebo nepřímo indukovat následující nežádoucí příhody:</w:t>
      </w:r>
    </w:p>
    <w:p w:rsidR="007815E3" w:rsidRDefault="00135799" w:rsidP="00340338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Srdeční</w:t>
      </w:r>
      <w:r w:rsidR="00B66B09">
        <w:rPr>
          <w:rFonts w:cs="ArialMT"/>
        </w:rPr>
        <w:t xml:space="preserve"> zástava, cerebrovaskulární příhoda, plicní embolie, infarkt myokardu, náhlé úmrtí, trochanterická bursitida,</w:t>
      </w:r>
      <w:r w:rsidR="00A137E9">
        <w:rPr>
          <w:rFonts w:cs="ArialMT"/>
        </w:rPr>
        <w:t xml:space="preserve"> </w:t>
      </w:r>
      <w:r w:rsidR="00B66B09">
        <w:rPr>
          <w:rFonts w:cs="ArialMT"/>
        </w:rPr>
        <w:t xml:space="preserve">přechodný pokles krevního tlaku, </w:t>
      </w:r>
      <w:r w:rsidR="00381D2C">
        <w:rPr>
          <w:rFonts w:cs="ArialMT"/>
        </w:rPr>
        <w:t>hematom, hemoragie, povrchová nebo hluboká infekce rány, tromboflebitida, krátkodobé nepravidelnosti vedení srdečních vzruchů, uvolnění protézy.</w:t>
      </w:r>
      <w:r w:rsidR="00CF169C">
        <w:rPr>
          <w:rFonts w:cs="ArialMT"/>
        </w:rPr>
        <w:t xml:space="preserve"> </w:t>
      </w:r>
      <w:r w:rsidR="007815E3">
        <w:rPr>
          <w:rFonts w:cs="ArialMT"/>
        </w:rPr>
        <w:t>Použití v těhotenství a během kojení:</w:t>
      </w:r>
    </w:p>
    <w:p w:rsidR="007815E3" w:rsidRDefault="007815E3" w:rsidP="00340338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 xml:space="preserve">Pro bezpečné použití gentamicinu během těhotenství a kojení neexistuje žádný důkaz. </w:t>
      </w:r>
    </w:p>
    <w:p w:rsidR="007815E3" w:rsidRDefault="007815E3" w:rsidP="00340338">
      <w:pPr>
        <w:pStyle w:val="Odstavecseseznamem"/>
        <w:ind w:left="357" w:right="0" w:firstLine="0"/>
        <w:rPr>
          <w:rFonts w:cs="ArialMT"/>
        </w:rPr>
      </w:pPr>
    </w:p>
    <w:p w:rsidR="007815E3" w:rsidRDefault="007815E3" w:rsidP="00340338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 xml:space="preserve">Interakce s jinými léky: </w:t>
      </w:r>
    </w:p>
    <w:p w:rsidR="007815E3" w:rsidRDefault="007815E3" w:rsidP="00340338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Lékovým interakcím s gentamicinem je nutno se vyhnout.</w:t>
      </w:r>
    </w:p>
    <w:p w:rsidR="007815E3" w:rsidRDefault="007815E3" w:rsidP="00340338">
      <w:pPr>
        <w:pStyle w:val="Odstavecseseznamem"/>
        <w:ind w:left="357" w:right="0" w:firstLine="0"/>
        <w:rPr>
          <w:rFonts w:cs="ArialMT"/>
        </w:rPr>
      </w:pPr>
    </w:p>
    <w:p w:rsidR="007815E3" w:rsidRDefault="007815E3" w:rsidP="007815E3">
      <w:pPr>
        <w:pStyle w:val="Odstavecseseznamem"/>
        <w:ind w:left="357" w:right="0" w:firstLine="0"/>
        <w:jc w:val="center"/>
        <w:rPr>
          <w:rFonts w:cs="ArialMT"/>
          <w:b/>
        </w:rPr>
      </w:pPr>
      <w:r w:rsidRPr="007815E3">
        <w:rPr>
          <w:rFonts w:cs="ArialMT"/>
          <w:b/>
        </w:rPr>
        <w:t>FARMAKODYNAMICKÉ CHARAKTERISTIKY</w:t>
      </w:r>
    </w:p>
    <w:p w:rsidR="007815E3" w:rsidRDefault="007815E3" w:rsidP="007815E3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Gentamicin patří do třídy antibiotik zvaných aminoglykosidy. Působí baktericidně na následující druhy bakterií:</w:t>
      </w:r>
    </w:p>
    <w:p w:rsidR="007815E3" w:rsidRDefault="007815E3" w:rsidP="007815E3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Citlivé kmeny: Escherichia coli, indol-pozi</w:t>
      </w:r>
      <w:r w:rsidR="0048253B">
        <w:rPr>
          <w:rFonts w:cs="ArialMT"/>
        </w:rPr>
        <w:t>tivní Proteus, indol-negativní P</w:t>
      </w:r>
      <w:r>
        <w:rPr>
          <w:rFonts w:cs="ArialMT"/>
        </w:rPr>
        <w:t xml:space="preserve">roteus, Pseudomonas aeruginosa, </w:t>
      </w:r>
      <w:r w:rsidR="0048253B">
        <w:rPr>
          <w:rFonts w:cs="ArialMT"/>
        </w:rPr>
        <w:t xml:space="preserve">Klebsiella species, Enterobacter, Serratia, Salmonella, Shigella, Acinetobacter, Staphylococcus. </w:t>
      </w:r>
    </w:p>
    <w:p w:rsidR="0048253B" w:rsidRDefault="0048253B" w:rsidP="007815E3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Rezistentní kmeny: Meningococcus, Streptococcus, anaeroby.</w:t>
      </w:r>
    </w:p>
    <w:p w:rsidR="00B66B09" w:rsidRDefault="005B0C94" w:rsidP="006518E3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V in vitro podmínkách se gentamicin vylučuje z kostního cementu v aktivní formě dlouhodobě.</w:t>
      </w:r>
      <w:r w:rsidR="00381D2C">
        <w:rPr>
          <w:rFonts w:cs="ArialMT"/>
        </w:rPr>
        <w:t xml:space="preserve"> </w:t>
      </w:r>
    </w:p>
    <w:p w:rsidR="00381D2C" w:rsidRDefault="00381D2C" w:rsidP="006518E3">
      <w:pPr>
        <w:pStyle w:val="Odstavecseseznamem"/>
        <w:ind w:left="357" w:right="0" w:firstLine="0"/>
        <w:rPr>
          <w:rFonts w:cs="ArialMT"/>
        </w:rPr>
      </w:pPr>
    </w:p>
    <w:p w:rsidR="00381D2C" w:rsidRPr="00381D2C" w:rsidRDefault="00381D2C" w:rsidP="00381D2C">
      <w:pPr>
        <w:pStyle w:val="Odstavecseseznamem"/>
        <w:ind w:left="357" w:right="0" w:firstLine="0"/>
        <w:jc w:val="center"/>
        <w:rPr>
          <w:rFonts w:cs="ArialMT"/>
          <w:b/>
        </w:rPr>
      </w:pPr>
      <w:r w:rsidRPr="00381D2C">
        <w:rPr>
          <w:rFonts w:cs="ArialMT"/>
          <w:b/>
        </w:rPr>
        <w:t>STERILIZACE</w:t>
      </w:r>
    </w:p>
    <w:p w:rsidR="00381D2C" w:rsidRDefault="006D7D92" w:rsidP="00381D2C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 xml:space="preserve">Tekutina obsažená v ampuli je sterilizována ultrafiltrací a blistrový obal ampule je sterilizován pomocí etylenoxidu. </w:t>
      </w:r>
      <w:r w:rsidR="00F91B62">
        <w:rPr>
          <w:rFonts w:cs="ArialMT"/>
        </w:rPr>
        <w:t xml:space="preserve">Prášek </w:t>
      </w:r>
      <w:r w:rsidR="004F2A5C">
        <w:rPr>
          <w:rFonts w:cs="ArialMT"/>
        </w:rPr>
        <w:t>se nachází uvnitř dvojitého sterilního</w:t>
      </w:r>
      <w:r w:rsidR="00F91B62">
        <w:rPr>
          <w:rFonts w:cs="ArialMT"/>
        </w:rPr>
        <w:t xml:space="preserve"> sáčku</w:t>
      </w:r>
      <w:r w:rsidR="0098234B">
        <w:rPr>
          <w:rFonts w:cs="ArialMT"/>
        </w:rPr>
        <w:t xml:space="preserve">. </w:t>
      </w:r>
      <w:r w:rsidR="004F2A5C">
        <w:rPr>
          <w:rFonts w:cs="ArialMT"/>
        </w:rPr>
        <w:t>Tento dvojitý sáček, který</w:t>
      </w:r>
      <w:r w:rsidR="00F91B62">
        <w:rPr>
          <w:rFonts w:cs="ArialMT"/>
        </w:rPr>
        <w:t xml:space="preserve"> je sterilizován za pomocí gama záření o intenzitě 25 kGy</w:t>
      </w:r>
      <w:r w:rsidR="004F2A5C">
        <w:rPr>
          <w:rFonts w:cs="ArialMT"/>
        </w:rPr>
        <w:t>, je umístěn uvnitř ochranného hliníkového (nesterilního) obalu</w:t>
      </w:r>
      <w:r w:rsidR="00F91B62">
        <w:rPr>
          <w:rFonts w:cs="ArialMT"/>
        </w:rPr>
        <w:t>.</w:t>
      </w:r>
    </w:p>
    <w:p w:rsidR="005405CF" w:rsidRDefault="005405CF" w:rsidP="00381D2C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 xml:space="preserve">Před použitím zkontrolujte pečlivě ochranné obaly a ujistěte se, že neutrpěly žádná poškození, která by mohla ohrozit jejich sterilitu. </w:t>
      </w:r>
    </w:p>
    <w:p w:rsidR="005405CF" w:rsidRDefault="005405CF" w:rsidP="00381D2C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 xml:space="preserve">Při vyjímání výrobků ze svých obalů dodržujte pravidla asepse. </w:t>
      </w:r>
    </w:p>
    <w:p w:rsidR="00544623" w:rsidRDefault="00544623" w:rsidP="00381D2C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 xml:space="preserve">Cement se dodává ve sterilním stavu a je připraven pro použití na operačním sále. </w:t>
      </w:r>
    </w:p>
    <w:p w:rsidR="005405CF" w:rsidRDefault="00FC57DA" w:rsidP="00381D2C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Je přísně zakázáno přípravek opakovaně sterilizovat. Přípravek je určen pouze k jednorázovému použití.</w:t>
      </w:r>
    </w:p>
    <w:p w:rsidR="00FC57DA" w:rsidRDefault="00FC57DA" w:rsidP="00381D2C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Přípravek j</w:t>
      </w:r>
      <w:r w:rsidR="00135799">
        <w:rPr>
          <w:rFonts w:cs="ArialMT"/>
        </w:rPr>
        <w:t>e sterilní pouze tehdy, pokud</w:t>
      </w:r>
      <w:r>
        <w:rPr>
          <w:rFonts w:cs="ArialMT"/>
        </w:rPr>
        <w:t xml:space="preserve"> jeho obal </w:t>
      </w:r>
      <w:r w:rsidR="00135799">
        <w:rPr>
          <w:rFonts w:cs="ArialMT"/>
        </w:rPr>
        <w:t xml:space="preserve">není otevřen a </w:t>
      </w:r>
      <w:r>
        <w:rPr>
          <w:rFonts w:cs="ArialMT"/>
        </w:rPr>
        <w:t xml:space="preserve">porušen. </w:t>
      </w:r>
    </w:p>
    <w:p w:rsidR="00FC57DA" w:rsidRDefault="00135799" w:rsidP="00381D2C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Nepoužívejte po datu expirace</w:t>
      </w:r>
      <w:r w:rsidR="00FC57DA">
        <w:rPr>
          <w:rFonts w:cs="ArialMT"/>
        </w:rPr>
        <w:t xml:space="preserve">. </w:t>
      </w:r>
    </w:p>
    <w:p w:rsidR="00FC57DA" w:rsidRDefault="00FC57DA" w:rsidP="00381D2C">
      <w:pPr>
        <w:pStyle w:val="Odstavecseseznamem"/>
        <w:ind w:left="357" w:right="0" w:firstLine="0"/>
        <w:rPr>
          <w:rFonts w:cs="ArialMT"/>
        </w:rPr>
      </w:pPr>
    </w:p>
    <w:p w:rsidR="00FC57DA" w:rsidRDefault="00C96D37" w:rsidP="00C96D37">
      <w:pPr>
        <w:pStyle w:val="Odstavecseseznamem"/>
        <w:ind w:left="357" w:right="0" w:firstLine="0"/>
        <w:jc w:val="center"/>
        <w:rPr>
          <w:rFonts w:cs="ArialMT"/>
          <w:b/>
        </w:rPr>
      </w:pPr>
      <w:r w:rsidRPr="00C96D37">
        <w:rPr>
          <w:rFonts w:cs="ArialMT"/>
          <w:b/>
        </w:rPr>
        <w:t>INFORMACE PRO PACIENTY</w:t>
      </w:r>
    </w:p>
    <w:p w:rsidR="00C96D37" w:rsidRDefault="006D0B7F" w:rsidP="00C96D37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Pacient by měl být lékařem informován o potenciálních důsledcích faktorů zmíněných v následujících bodech: k</w:t>
      </w:r>
      <w:r w:rsidR="00135799">
        <w:rPr>
          <w:rFonts w:cs="ArialMT"/>
        </w:rPr>
        <w:t>ontraindikace a nežádoucí příhody</w:t>
      </w:r>
      <w:r>
        <w:rPr>
          <w:rFonts w:cs="ArialMT"/>
        </w:rPr>
        <w:t xml:space="preserve">, což jsou faktory, které by mohly ovlivnit úspěšný výsledek operace, a stejně tak možné komplikace, které se mohou objevit. Pacient musí být rovněž informován o opatřeních, která musí být přijata ke zmírnění možných důsledků těchto faktorů. </w:t>
      </w:r>
    </w:p>
    <w:p w:rsidR="006D0B7F" w:rsidRDefault="006D0B7F" w:rsidP="00C96D37">
      <w:pPr>
        <w:pStyle w:val="Odstavecseseznamem"/>
        <w:ind w:left="357" w:right="0" w:firstLine="0"/>
        <w:rPr>
          <w:rFonts w:cs="ArialMT"/>
        </w:rPr>
      </w:pPr>
    </w:p>
    <w:p w:rsidR="00A34024" w:rsidRPr="006D0B7F" w:rsidRDefault="006D0B7F" w:rsidP="006D0B7F">
      <w:pPr>
        <w:pStyle w:val="Odstavecseseznamem"/>
        <w:ind w:left="357" w:right="0" w:firstLine="0"/>
        <w:jc w:val="center"/>
        <w:rPr>
          <w:rFonts w:cs="ArialMT"/>
          <w:b/>
        </w:rPr>
      </w:pPr>
      <w:r w:rsidRPr="006D0B7F">
        <w:rPr>
          <w:rFonts w:cs="ArialMT"/>
          <w:b/>
        </w:rPr>
        <w:t xml:space="preserve">BALENÍ </w:t>
      </w:r>
      <w:r w:rsidR="00135799">
        <w:rPr>
          <w:rFonts w:cs="ArialMT"/>
          <w:b/>
        </w:rPr>
        <w:t>–</w:t>
      </w:r>
      <w:r w:rsidRPr="006D0B7F">
        <w:rPr>
          <w:rFonts w:cs="ArialMT"/>
          <w:b/>
        </w:rPr>
        <w:t xml:space="preserve"> UCHOVÁVÁNÍ</w:t>
      </w:r>
    </w:p>
    <w:p w:rsidR="00A34024" w:rsidRDefault="006D0B7F" w:rsidP="006D0B7F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lastRenderedPageBreak/>
        <w:t>Popis</w:t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  <w:t>Prášek (g)</w:t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  <w:t>tekutina (g)</w:t>
      </w:r>
    </w:p>
    <w:p w:rsidR="006D0B7F" w:rsidRDefault="006D0B7F" w:rsidP="006D0B7F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Standardní viskozita (1)</w:t>
      </w:r>
      <w:r>
        <w:rPr>
          <w:rFonts w:cs="ArialMT"/>
        </w:rPr>
        <w:tab/>
      </w:r>
      <w:r>
        <w:rPr>
          <w:rFonts w:cs="ArialMT"/>
        </w:rPr>
        <w:tab/>
      </w:r>
      <w:r w:rsidR="00251D92">
        <w:rPr>
          <w:rFonts w:cs="ArialMT"/>
        </w:rPr>
        <w:t>41,6</w:t>
      </w:r>
      <w:r w:rsidR="00DF2F9A">
        <w:rPr>
          <w:rFonts w:cs="ArialMT"/>
        </w:rPr>
        <w:t xml:space="preserve"> </w:t>
      </w:r>
      <w:r>
        <w:rPr>
          <w:rFonts w:cs="ArialMT"/>
        </w:rPr>
        <w:t>g</w:t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  <w:t>14,4</w:t>
      </w:r>
      <w:r w:rsidR="00DF2F9A">
        <w:rPr>
          <w:rFonts w:cs="ArialMT"/>
        </w:rPr>
        <w:t xml:space="preserve"> </w:t>
      </w:r>
      <w:r>
        <w:rPr>
          <w:rFonts w:cs="ArialMT"/>
        </w:rPr>
        <w:t>g</w:t>
      </w:r>
    </w:p>
    <w:p w:rsidR="006D0B7F" w:rsidRDefault="006D0B7F" w:rsidP="006D0B7F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Snížená viskozita (3)</w:t>
      </w:r>
      <w:r>
        <w:rPr>
          <w:rFonts w:cs="ArialMT"/>
        </w:rPr>
        <w:tab/>
      </w:r>
      <w:r>
        <w:rPr>
          <w:rFonts w:cs="ArialMT"/>
        </w:rPr>
        <w:tab/>
      </w:r>
      <w:r w:rsidR="00251D92">
        <w:rPr>
          <w:rFonts w:cs="ArialMT"/>
        </w:rPr>
        <w:t>41,6</w:t>
      </w:r>
      <w:r w:rsidR="00DF2F9A">
        <w:rPr>
          <w:rFonts w:cs="ArialMT"/>
        </w:rPr>
        <w:t xml:space="preserve"> </w:t>
      </w:r>
      <w:r>
        <w:rPr>
          <w:rFonts w:cs="ArialMT"/>
        </w:rPr>
        <w:t>g</w:t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  <w:t>16,4</w:t>
      </w:r>
      <w:r w:rsidR="00DF2F9A">
        <w:rPr>
          <w:rFonts w:cs="ArialMT"/>
        </w:rPr>
        <w:t xml:space="preserve"> </w:t>
      </w:r>
      <w:r>
        <w:rPr>
          <w:rFonts w:cs="ArialMT"/>
        </w:rPr>
        <w:t>g</w:t>
      </w:r>
    </w:p>
    <w:p w:rsidR="006D0B7F" w:rsidRDefault="006D0B7F" w:rsidP="006D0B7F">
      <w:pPr>
        <w:pStyle w:val="Odstavecseseznamem"/>
        <w:ind w:left="357" w:right="0" w:firstLine="0"/>
        <w:rPr>
          <w:rFonts w:cs="ArialMT"/>
        </w:rPr>
      </w:pPr>
    </w:p>
    <w:p w:rsidR="006D0B7F" w:rsidRDefault="006D0B7F" w:rsidP="006D0B7F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 xml:space="preserve">Cement musí být uchováván v neotevřeném a originálním obalu na suchém </w:t>
      </w:r>
      <w:r w:rsidR="00545376">
        <w:rPr>
          <w:rFonts w:cs="ArialMT"/>
        </w:rPr>
        <w:t xml:space="preserve">a </w:t>
      </w:r>
      <w:r>
        <w:rPr>
          <w:rFonts w:cs="ArialMT"/>
        </w:rPr>
        <w:t xml:space="preserve">čistém místě </w:t>
      </w:r>
      <w:r w:rsidR="00545376">
        <w:rPr>
          <w:rFonts w:cs="ArialMT"/>
        </w:rPr>
        <w:t>bez přítomnosti slunečního s</w:t>
      </w:r>
      <w:r w:rsidR="00135799">
        <w:rPr>
          <w:rFonts w:cs="ArialMT"/>
        </w:rPr>
        <w:t>větla, při maximální teplotě 25 °</w:t>
      </w:r>
      <w:r w:rsidR="00545376">
        <w:rPr>
          <w:rFonts w:cs="ArialMT"/>
        </w:rPr>
        <w:t>C.</w:t>
      </w:r>
    </w:p>
    <w:p w:rsidR="00545376" w:rsidRDefault="00545376" w:rsidP="006D0B7F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 xml:space="preserve">Chraňte před všemi zdroji vznícení. </w:t>
      </w:r>
    </w:p>
    <w:p w:rsidR="00192F0B" w:rsidRPr="00C96D37" w:rsidRDefault="00192F0B" w:rsidP="006D0B7F">
      <w:pPr>
        <w:pStyle w:val="Odstavecseseznamem"/>
        <w:ind w:left="357" w:right="0" w:firstLine="0"/>
        <w:rPr>
          <w:rFonts w:cs="ArialMT"/>
        </w:rPr>
      </w:pPr>
    </w:p>
    <w:p w:rsidR="006518E3" w:rsidRDefault="00A34024" w:rsidP="006518E3">
      <w:pPr>
        <w:pStyle w:val="Odstavecseseznamem"/>
        <w:ind w:left="357" w:right="0" w:firstLine="0"/>
        <w:jc w:val="center"/>
        <w:rPr>
          <w:b/>
        </w:rPr>
      </w:pPr>
      <w:r>
        <w:rPr>
          <w:b/>
        </w:rPr>
        <w:t>DOPORUČENÍ PRO LIKVIDACI</w:t>
      </w:r>
    </w:p>
    <w:p w:rsidR="00192F0B" w:rsidRDefault="00367C1D" w:rsidP="003C511C">
      <w:pPr>
        <w:pStyle w:val="Odstavecseseznamem"/>
        <w:numPr>
          <w:ilvl w:val="0"/>
          <w:numId w:val="1"/>
        </w:numPr>
        <w:ind w:right="0"/>
      </w:pPr>
      <w:r>
        <w:t xml:space="preserve">Předtím, než cement zlikvidujete společně s ostatním </w:t>
      </w:r>
      <w:r w:rsidR="00390E42">
        <w:t>zdravotnickým</w:t>
      </w:r>
      <w:r>
        <w:t xml:space="preserve"> odpadem, nechte jej ztvrdnout. </w:t>
      </w:r>
      <w:r w:rsidR="00434B39">
        <w:t xml:space="preserve">Likvidujte v souladu s platnými místními předpisy vztahujícími se k zdravotnickému odpadu pro bezpečnou manipulaci a likvidaci cementu. </w:t>
      </w:r>
    </w:p>
    <w:p w:rsidR="003A0DE1" w:rsidRPr="003A0DE1" w:rsidRDefault="00434B39" w:rsidP="003C511C">
      <w:pPr>
        <w:pStyle w:val="Odstavecseseznamem"/>
        <w:numPr>
          <w:ilvl w:val="0"/>
          <w:numId w:val="1"/>
        </w:numPr>
        <w:ind w:right="0"/>
      </w:pPr>
      <w:r>
        <w:t xml:space="preserve">Oddělenou likvidaci tekutiny nebo prášku provádějte v souladu s platnými místními předpisy vztahujícími se k manipulaci a likvidaci cementu. </w:t>
      </w:r>
    </w:p>
    <w:sectPr w:rsidR="003A0DE1" w:rsidRPr="003A0DE1" w:rsidSect="0015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5B58"/>
    <w:multiLevelType w:val="hybridMultilevel"/>
    <w:tmpl w:val="A642C6A8"/>
    <w:lvl w:ilvl="0" w:tplc="2056EBEE">
      <w:start w:val="14"/>
      <w:numFmt w:val="bullet"/>
      <w:lvlText w:val="-"/>
      <w:lvlJc w:val="left"/>
      <w:pPr>
        <w:ind w:left="644" w:hanging="360"/>
      </w:pPr>
      <w:rPr>
        <w:rFonts w:ascii="Calibri" w:eastAsiaTheme="minorHAnsi" w:hAnsi="Calibri" w:cs="ArialMT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CC5"/>
    <w:rsid w:val="00005CD8"/>
    <w:rsid w:val="000208DA"/>
    <w:rsid w:val="0002127E"/>
    <w:rsid w:val="00026A3A"/>
    <w:rsid w:val="0005570C"/>
    <w:rsid w:val="0007132D"/>
    <w:rsid w:val="00085B0C"/>
    <w:rsid w:val="000B177C"/>
    <w:rsid w:val="000B2181"/>
    <w:rsid w:val="000D083E"/>
    <w:rsid w:val="00106ECC"/>
    <w:rsid w:val="00113322"/>
    <w:rsid w:val="00114349"/>
    <w:rsid w:val="00135799"/>
    <w:rsid w:val="0013646E"/>
    <w:rsid w:val="00157250"/>
    <w:rsid w:val="00192F0B"/>
    <w:rsid w:val="001C30B7"/>
    <w:rsid w:val="00204AD7"/>
    <w:rsid w:val="00210881"/>
    <w:rsid w:val="0022593A"/>
    <w:rsid w:val="00231B86"/>
    <w:rsid w:val="0023237A"/>
    <w:rsid w:val="00251D92"/>
    <w:rsid w:val="002634FB"/>
    <w:rsid w:val="00271349"/>
    <w:rsid w:val="0027353D"/>
    <w:rsid w:val="00280F49"/>
    <w:rsid w:val="002B695B"/>
    <w:rsid w:val="002C3F89"/>
    <w:rsid w:val="002F3627"/>
    <w:rsid w:val="00304100"/>
    <w:rsid w:val="003379B8"/>
    <w:rsid w:val="00340338"/>
    <w:rsid w:val="0035046E"/>
    <w:rsid w:val="00362D90"/>
    <w:rsid w:val="00367C1D"/>
    <w:rsid w:val="00380D5D"/>
    <w:rsid w:val="00381D2C"/>
    <w:rsid w:val="0038430A"/>
    <w:rsid w:val="00390E42"/>
    <w:rsid w:val="00391884"/>
    <w:rsid w:val="003A0DE1"/>
    <w:rsid w:val="003A2C71"/>
    <w:rsid w:val="003A74C3"/>
    <w:rsid w:val="003B0C5C"/>
    <w:rsid w:val="003C511C"/>
    <w:rsid w:val="003C7137"/>
    <w:rsid w:val="003F2CF4"/>
    <w:rsid w:val="003F47ED"/>
    <w:rsid w:val="00402A05"/>
    <w:rsid w:val="004032D9"/>
    <w:rsid w:val="00411AD8"/>
    <w:rsid w:val="00427383"/>
    <w:rsid w:val="00434B39"/>
    <w:rsid w:val="004516E3"/>
    <w:rsid w:val="00452687"/>
    <w:rsid w:val="0046699E"/>
    <w:rsid w:val="0046745E"/>
    <w:rsid w:val="00467957"/>
    <w:rsid w:val="0048253B"/>
    <w:rsid w:val="004A12A5"/>
    <w:rsid w:val="004B6CC5"/>
    <w:rsid w:val="004C45EB"/>
    <w:rsid w:val="004F2A5C"/>
    <w:rsid w:val="00513855"/>
    <w:rsid w:val="0052218A"/>
    <w:rsid w:val="005335D6"/>
    <w:rsid w:val="005405CF"/>
    <w:rsid w:val="00544623"/>
    <w:rsid w:val="00545376"/>
    <w:rsid w:val="00553F44"/>
    <w:rsid w:val="005A0F4F"/>
    <w:rsid w:val="005B0C94"/>
    <w:rsid w:val="005C08AB"/>
    <w:rsid w:val="006518E3"/>
    <w:rsid w:val="00670635"/>
    <w:rsid w:val="006D0B7F"/>
    <w:rsid w:val="006D7D92"/>
    <w:rsid w:val="006E4230"/>
    <w:rsid w:val="006E4AC3"/>
    <w:rsid w:val="006E76CC"/>
    <w:rsid w:val="00706496"/>
    <w:rsid w:val="007172CF"/>
    <w:rsid w:val="00724395"/>
    <w:rsid w:val="0074540F"/>
    <w:rsid w:val="00774F49"/>
    <w:rsid w:val="007815E3"/>
    <w:rsid w:val="007836D4"/>
    <w:rsid w:val="007A353A"/>
    <w:rsid w:val="007B7514"/>
    <w:rsid w:val="00801D2D"/>
    <w:rsid w:val="0080625D"/>
    <w:rsid w:val="008476DD"/>
    <w:rsid w:val="00850999"/>
    <w:rsid w:val="00854E18"/>
    <w:rsid w:val="00877C36"/>
    <w:rsid w:val="008A0C72"/>
    <w:rsid w:val="008A1129"/>
    <w:rsid w:val="008A4AB5"/>
    <w:rsid w:val="008A76BF"/>
    <w:rsid w:val="008B030B"/>
    <w:rsid w:val="008E0C36"/>
    <w:rsid w:val="008F7C80"/>
    <w:rsid w:val="00901C93"/>
    <w:rsid w:val="00905B1B"/>
    <w:rsid w:val="00910F74"/>
    <w:rsid w:val="009240C7"/>
    <w:rsid w:val="009278A7"/>
    <w:rsid w:val="00937CBA"/>
    <w:rsid w:val="00940E4E"/>
    <w:rsid w:val="009774D4"/>
    <w:rsid w:val="0098234B"/>
    <w:rsid w:val="00994D76"/>
    <w:rsid w:val="009A62F4"/>
    <w:rsid w:val="009E207C"/>
    <w:rsid w:val="00A01DDA"/>
    <w:rsid w:val="00A12E4F"/>
    <w:rsid w:val="00A137E9"/>
    <w:rsid w:val="00A34024"/>
    <w:rsid w:val="00A419CD"/>
    <w:rsid w:val="00A42FE0"/>
    <w:rsid w:val="00A53EFF"/>
    <w:rsid w:val="00A94FF9"/>
    <w:rsid w:val="00A95403"/>
    <w:rsid w:val="00AD6956"/>
    <w:rsid w:val="00B27B05"/>
    <w:rsid w:val="00B27F6D"/>
    <w:rsid w:val="00B46CC5"/>
    <w:rsid w:val="00B66B09"/>
    <w:rsid w:val="00B83188"/>
    <w:rsid w:val="00BB6704"/>
    <w:rsid w:val="00BD5253"/>
    <w:rsid w:val="00C01859"/>
    <w:rsid w:val="00C47464"/>
    <w:rsid w:val="00C66DB3"/>
    <w:rsid w:val="00C74228"/>
    <w:rsid w:val="00C853A8"/>
    <w:rsid w:val="00C96D37"/>
    <w:rsid w:val="00CE03BB"/>
    <w:rsid w:val="00CF169C"/>
    <w:rsid w:val="00D00C09"/>
    <w:rsid w:val="00D166D6"/>
    <w:rsid w:val="00D855B1"/>
    <w:rsid w:val="00DB4B96"/>
    <w:rsid w:val="00DB5AB4"/>
    <w:rsid w:val="00DB7263"/>
    <w:rsid w:val="00DF2F9A"/>
    <w:rsid w:val="00E00BB5"/>
    <w:rsid w:val="00E31A27"/>
    <w:rsid w:val="00E3693E"/>
    <w:rsid w:val="00E93FD3"/>
    <w:rsid w:val="00ED3FB2"/>
    <w:rsid w:val="00EF5590"/>
    <w:rsid w:val="00EF66B6"/>
    <w:rsid w:val="00F15B6B"/>
    <w:rsid w:val="00F4241E"/>
    <w:rsid w:val="00F665D1"/>
    <w:rsid w:val="00F91B62"/>
    <w:rsid w:val="00FA1B1D"/>
    <w:rsid w:val="00FC5387"/>
    <w:rsid w:val="00FC57DA"/>
    <w:rsid w:val="00FF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714" w:right="22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2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E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5C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2ADCF-71D0-489A-B528-9C3F7857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1978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SilverWolf</dc:creator>
  <cp:lastModifiedBy>PC01</cp:lastModifiedBy>
  <cp:revision>2</cp:revision>
  <cp:lastPrinted>2014-03-06T09:18:00Z</cp:lastPrinted>
  <dcterms:created xsi:type="dcterms:W3CDTF">2014-03-01T11:18:00Z</dcterms:created>
  <dcterms:modified xsi:type="dcterms:W3CDTF">2014-03-06T13:41:00Z</dcterms:modified>
</cp:coreProperties>
</file>